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0"/>
        <w:jc w:val="left"/>
        <w:textAlignment w:val="auto"/>
        <w:rPr>
          <w:rFonts w:hint="default" w:ascii="Times New Roman" w:hAnsi="Times New Roman" w:eastAsia="黑体" w:cs="Times New Roman"/>
          <w:spacing w:val="-1"/>
          <w:sz w:val="32"/>
          <w:szCs w:val="32"/>
          <w:lang w:val="en-US" w:eastAsia="zh-CN"/>
        </w:rPr>
      </w:pPr>
      <w:r>
        <w:rPr>
          <w:rFonts w:hint="default" w:ascii="Times New Roman" w:hAnsi="Times New Roman" w:eastAsia="黑体" w:cs="Times New Roman"/>
          <w:spacing w:val="-1"/>
          <w:sz w:val="32"/>
          <w:szCs w:val="32"/>
          <w:lang w:val="en-US" w:eastAsia="zh-CN"/>
        </w:rPr>
        <w:t>附件1</w:t>
      </w:r>
    </w:p>
    <w:p>
      <w:pPr>
        <w:keepNext w:val="0"/>
        <w:keepLines w:val="0"/>
        <w:pageBreakBefore w:val="0"/>
        <w:kinsoku/>
        <w:wordWrap/>
        <w:overflowPunct/>
        <w:topLinePunct w:val="0"/>
        <w:autoSpaceDE w:val="0"/>
        <w:autoSpaceDN w:val="0"/>
        <w:bidi w:val="0"/>
        <w:spacing w:before="0" w:line="560" w:lineRule="exact"/>
        <w:rPr>
          <w:rFonts w:hint="default" w:ascii="Times New Roman" w:hAnsi="Times New Roman" w:cs="Times New Roman"/>
          <w:lang w:val="en-US" w:eastAsia="zh-CN"/>
        </w:rPr>
      </w:pP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0"/>
        <w:jc w:val="center"/>
        <w:textAlignment w:val="auto"/>
        <w:rPr>
          <w:rFonts w:hint="default" w:ascii="Times New Roman" w:hAnsi="Times New Roman" w:eastAsia="方正小标宋简体" w:cs="Times New Roman"/>
        </w:rPr>
      </w:pPr>
      <w:r>
        <w:rPr>
          <w:rFonts w:hint="default" w:ascii="Times New Roman" w:hAnsi="Times New Roman" w:eastAsia="方正小标宋简体" w:cs="Times New Roman"/>
          <w:spacing w:val="-1"/>
          <w:lang w:val="en-US" w:eastAsia="zh-CN"/>
        </w:rPr>
        <w:t>2</w:t>
      </w:r>
      <w:r>
        <w:rPr>
          <w:rFonts w:hint="default" w:ascii="Times New Roman" w:hAnsi="Times New Roman" w:eastAsia="方正小标宋简体" w:cs="Times New Roman"/>
          <w:spacing w:val="-1"/>
        </w:rPr>
        <w:t>02</w:t>
      </w:r>
      <w:r>
        <w:rPr>
          <w:rFonts w:hint="eastAsia" w:ascii="Times New Roman" w:hAnsi="Times New Roman" w:eastAsia="方正小标宋简体" w:cs="Times New Roman"/>
          <w:spacing w:val="-1"/>
          <w:lang w:val="en-US" w:eastAsia="zh-CN"/>
        </w:rPr>
        <w:t>5</w:t>
      </w:r>
      <w:r>
        <w:rPr>
          <w:rFonts w:hint="default" w:ascii="Times New Roman" w:hAnsi="Times New Roman" w:eastAsia="方正小标宋简体" w:cs="Times New Roman"/>
        </w:rPr>
        <w:t>年危险化学品（化工、医药）</w:t>
      </w:r>
      <w:r>
        <w:rPr>
          <w:rFonts w:hint="default" w:ascii="Times New Roman" w:hAnsi="Times New Roman" w:eastAsia="方正小标宋简体" w:cs="Times New Roman"/>
          <w:spacing w:val="-112"/>
        </w:rPr>
        <w:t xml:space="preserve"> </w:t>
      </w:r>
      <w:r>
        <w:rPr>
          <w:rFonts w:hint="default" w:ascii="Times New Roman" w:hAnsi="Times New Roman" w:eastAsia="方正小标宋简体" w:cs="Times New Roman"/>
        </w:rPr>
        <w:t>安全生产</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0"/>
        <w:jc w:val="center"/>
        <w:textAlignment w:val="auto"/>
        <w:rPr>
          <w:rFonts w:hint="default" w:ascii="Times New Roman" w:hAnsi="Times New Roman" w:eastAsia="方正小标宋简体" w:cs="Times New Roman"/>
        </w:rPr>
      </w:pPr>
      <w:r>
        <w:rPr>
          <w:rFonts w:hint="default" w:ascii="Times New Roman" w:hAnsi="Times New Roman" w:eastAsia="方正小标宋简体" w:cs="Times New Roman"/>
        </w:rPr>
        <w:t>监督检查计划</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textAlignment w:val="auto"/>
        <w:rPr>
          <w:rFonts w:hint="default" w:ascii="Times New Roman" w:hAnsi="Times New Roman" w:cs="Times New Roman"/>
          <w:sz w:val="46"/>
        </w:rPr>
      </w:pP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firstLine="640" w:firstLineChars="200"/>
        <w:textAlignment w:val="auto"/>
        <w:rPr>
          <w:rFonts w:hint="default" w:ascii="Times New Roman" w:hAnsi="Times New Roman" w:eastAsia="黑体" w:cs="Times New Roman"/>
          <w:spacing w:val="-12"/>
          <w:w w:val="95"/>
        </w:rPr>
      </w:pPr>
      <w:r>
        <w:rPr>
          <w:rFonts w:hint="default" w:ascii="Times New Roman" w:hAnsi="Times New Roman" w:eastAsia="黑体" w:cs="Times New Roman"/>
          <w:b w:val="0"/>
          <w:bCs w:val="0"/>
          <w:kern w:val="0"/>
          <w:sz w:val="32"/>
          <w:szCs w:val="32"/>
          <w:lang w:val="en-US" w:eastAsia="zh-CN" w:bidi="ar-SA"/>
        </w:rPr>
        <w:t>一、全镇危险化学品（化工、医药）基本情况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4" w:firstLineChars="200"/>
        <w:textAlignment w:val="auto"/>
        <w:rPr>
          <w:rFonts w:hint="default" w:ascii="Times New Roman" w:hAnsi="Times New Roman" w:eastAsia="仿宋_GB2312" w:cs="Times New Roman"/>
          <w:spacing w:val="-9"/>
          <w:sz w:val="32"/>
          <w:szCs w:val="32"/>
        </w:rPr>
      </w:pPr>
      <w:r>
        <w:rPr>
          <w:rFonts w:hint="default" w:ascii="Times New Roman" w:hAnsi="Times New Roman" w:eastAsia="仿宋_GB2312" w:cs="Times New Roman"/>
          <w:spacing w:val="-9"/>
          <w:sz w:val="32"/>
          <w:szCs w:val="32"/>
          <w:lang w:eastAsia="zh-CN"/>
        </w:rPr>
        <w:t>我镇</w:t>
      </w:r>
      <w:r>
        <w:rPr>
          <w:rFonts w:hint="default" w:ascii="Times New Roman" w:hAnsi="Times New Roman" w:eastAsia="仿宋_GB2312" w:cs="Times New Roman"/>
          <w:spacing w:val="-9"/>
          <w:sz w:val="32"/>
          <w:szCs w:val="32"/>
        </w:rPr>
        <w:t>目前共有危险化学品</w:t>
      </w:r>
      <w:r>
        <w:rPr>
          <w:rFonts w:hint="default" w:ascii="Times New Roman" w:hAnsi="Times New Roman" w:eastAsia="仿宋_GB2312" w:cs="Times New Roman"/>
          <w:spacing w:val="-9"/>
          <w:sz w:val="32"/>
          <w:szCs w:val="32"/>
          <w:lang w:eastAsia="zh-CN"/>
        </w:rPr>
        <w:t>经营企业</w:t>
      </w:r>
      <w:r>
        <w:rPr>
          <w:rFonts w:hint="eastAsia" w:ascii="Times New Roman" w:hAnsi="Times New Roman" w:eastAsia="仿宋_GB2312" w:cs="Times New Roman"/>
          <w:spacing w:val="-9"/>
          <w:sz w:val="32"/>
          <w:szCs w:val="32"/>
          <w:lang w:val="en-US" w:eastAsia="zh-CN"/>
        </w:rPr>
        <w:t>1</w:t>
      </w:r>
      <w:r>
        <w:rPr>
          <w:rFonts w:hint="default" w:ascii="Times New Roman" w:hAnsi="Times New Roman" w:eastAsia="仿宋_GB2312" w:cs="Times New Roman"/>
          <w:spacing w:val="-9"/>
          <w:sz w:val="32"/>
          <w:szCs w:val="32"/>
          <w:lang w:val="en-US" w:eastAsia="zh-CN"/>
        </w:rPr>
        <w:t>家（宁乡市丰联加油站），</w:t>
      </w:r>
      <w:r>
        <w:rPr>
          <w:rFonts w:hint="default" w:ascii="Times New Roman" w:hAnsi="Times New Roman" w:eastAsia="仿宋_GB2312" w:cs="Times New Roman"/>
          <w:spacing w:val="-9"/>
          <w:sz w:val="32"/>
          <w:szCs w:val="32"/>
        </w:rPr>
        <w:t>202</w:t>
      </w:r>
      <w:r>
        <w:rPr>
          <w:rFonts w:hint="eastAsia" w:ascii="Times New Roman" w:hAnsi="Times New Roman" w:eastAsia="仿宋_GB2312" w:cs="Times New Roman"/>
          <w:spacing w:val="-9"/>
          <w:sz w:val="32"/>
          <w:szCs w:val="32"/>
          <w:lang w:val="en-US" w:eastAsia="zh-CN"/>
        </w:rPr>
        <w:t>4</w:t>
      </w:r>
      <w:r>
        <w:rPr>
          <w:rFonts w:hint="default" w:ascii="Times New Roman" w:hAnsi="Times New Roman" w:eastAsia="仿宋_GB2312" w:cs="Times New Roman"/>
          <w:spacing w:val="-9"/>
          <w:sz w:val="32"/>
          <w:szCs w:val="32"/>
        </w:rPr>
        <w:t>年未发生危险化学品生产安全事故。</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firstLine="640" w:firstLineChars="200"/>
        <w:textAlignment w:val="auto"/>
        <w:rPr>
          <w:rFonts w:hint="default" w:ascii="Times New Roman" w:hAnsi="Times New Roman" w:eastAsia="黑体" w:cs="Times New Roman"/>
          <w:b w:val="0"/>
          <w:bCs w:val="0"/>
          <w:kern w:val="0"/>
          <w:sz w:val="32"/>
          <w:szCs w:val="32"/>
          <w:lang w:val="en-US" w:eastAsia="zh-CN" w:bidi="ar-SA"/>
        </w:rPr>
      </w:pPr>
      <w:r>
        <w:rPr>
          <w:rFonts w:hint="default" w:ascii="Times New Roman" w:hAnsi="Times New Roman" w:eastAsia="黑体" w:cs="Times New Roman"/>
          <w:b w:val="0"/>
          <w:bCs w:val="0"/>
          <w:kern w:val="0"/>
          <w:sz w:val="32"/>
          <w:szCs w:val="32"/>
          <w:lang w:val="en-US" w:eastAsia="zh-CN" w:bidi="ar-SA"/>
        </w:rPr>
        <w:t>二、主要执法依据</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4"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pacing w:val="-9"/>
          <w:sz w:val="32"/>
          <w:szCs w:val="32"/>
        </w:rPr>
        <w:t>（一）《安全生产法》《行政处罚法》《危险化学品安全管理 条例》《安全生产许可证条例》《生产安全事故应急条例》《湖南 省安全生产条例》</w:t>
      </w:r>
      <w:r>
        <w:rPr>
          <w:rFonts w:hint="default" w:ascii="Times New Roman" w:hAnsi="Times New Roman" w:eastAsia="仿宋_GB2312" w:cs="Times New Roman"/>
          <w:spacing w:val="-18"/>
          <w:sz w:val="32"/>
          <w:szCs w:val="32"/>
        </w:rPr>
        <w:t>；</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w:t>
      </w:r>
      <w:r>
        <w:rPr>
          <w:rFonts w:hint="default" w:ascii="Times New Roman" w:hAnsi="Times New Roman" w:eastAsia="仿宋_GB2312" w:cs="Times New Roman"/>
          <w:spacing w:val="-159"/>
          <w:sz w:val="32"/>
          <w:szCs w:val="32"/>
        </w:rPr>
        <w:t>）</w:t>
      </w:r>
      <w:r>
        <w:rPr>
          <w:rFonts w:hint="default" w:ascii="Times New Roman" w:hAnsi="Times New Roman" w:eastAsia="仿宋_GB2312" w:cs="Times New Roman"/>
          <w:spacing w:val="-9"/>
          <w:sz w:val="32"/>
          <w:szCs w:val="32"/>
        </w:rPr>
        <w:t>《安全生产事故隐患排查治理暂行规定》《危险化学品生产企业安全生产许可证实施办法》《危险化学品重大危险源 监督管理暂行规定》《危险化学品输送管道安全管理办法》《危 险化学品建设项目安全监督管理办法》《危险化学品经营许可证 管理办法》《化学品物理危险性鉴定与分类管理办法》《危险化 学品安全使用许可证实施办法》《安全生产监管监察职责和行政 执法责任追究的规定》《湖南省生产经营单位安全生产主体责任 规定》</w:t>
      </w:r>
      <w:r>
        <w:rPr>
          <w:rFonts w:hint="default" w:ascii="Times New Roman" w:hAnsi="Times New Roman" w:eastAsia="仿宋_GB2312" w:cs="Times New Roman"/>
          <w:spacing w:val="-41"/>
          <w:sz w:val="32"/>
          <w:szCs w:val="32"/>
        </w:rPr>
        <w:t>；</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pacing w:val="-9"/>
          <w:sz w:val="32"/>
          <w:szCs w:val="32"/>
        </w:rPr>
      </w:pPr>
      <w:r>
        <w:rPr>
          <w:rFonts w:hint="default" w:ascii="Times New Roman" w:hAnsi="Times New Roman" w:eastAsia="仿宋_GB2312" w:cs="Times New Roman"/>
          <w:sz w:val="32"/>
          <w:szCs w:val="32"/>
        </w:rPr>
        <w:t>（三</w:t>
      </w:r>
      <w:r>
        <w:rPr>
          <w:rFonts w:hint="default" w:ascii="Times New Roman" w:hAnsi="Times New Roman" w:eastAsia="仿宋_GB2312" w:cs="Times New Roman"/>
          <w:spacing w:val="-159"/>
          <w:sz w:val="32"/>
          <w:szCs w:val="32"/>
        </w:rPr>
        <w:t>）</w:t>
      </w:r>
      <w:r>
        <w:rPr>
          <w:rFonts w:hint="default" w:ascii="Times New Roman" w:hAnsi="Times New Roman" w:eastAsia="仿宋_GB2312" w:cs="Times New Roman"/>
          <w:spacing w:val="-9"/>
          <w:sz w:val="32"/>
          <w:szCs w:val="32"/>
        </w:rPr>
        <w:t>《化工（危险化学品）企业安全检查重点指导目录》《化工和危险化学品生产经营单位重大生产安全事故隐患判定 标准（试行）》《危险化学品生产储存企业安全风险评估诊断分 级指南（试行）》；</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4" w:firstLineChars="200"/>
        <w:textAlignment w:val="auto"/>
        <w:rPr>
          <w:rFonts w:hint="default" w:ascii="Times New Roman" w:hAnsi="Times New Roman" w:eastAsia="仿宋_GB2312" w:cs="Times New Roman"/>
          <w:spacing w:val="-9"/>
          <w:sz w:val="32"/>
          <w:szCs w:val="32"/>
        </w:rPr>
      </w:pPr>
      <w:r>
        <w:rPr>
          <w:rFonts w:hint="default" w:ascii="Times New Roman" w:hAnsi="Times New Roman" w:eastAsia="仿宋_GB2312" w:cs="Times New Roman"/>
          <w:spacing w:val="-9"/>
          <w:sz w:val="32"/>
          <w:szCs w:val="32"/>
        </w:rPr>
        <w:t>（四）其他相关法律法规和标准规范及法规性规范性文件。</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firstLine="640" w:firstLineChars="200"/>
        <w:textAlignment w:val="auto"/>
        <w:rPr>
          <w:rFonts w:hint="default" w:ascii="Times New Roman" w:hAnsi="Times New Roman" w:eastAsia="黑体" w:cs="Times New Roman"/>
          <w:b w:val="0"/>
          <w:bCs w:val="0"/>
          <w:kern w:val="0"/>
          <w:sz w:val="32"/>
          <w:szCs w:val="32"/>
          <w:lang w:val="en-US" w:eastAsia="zh-CN" w:bidi="ar-SA"/>
        </w:rPr>
      </w:pPr>
      <w:r>
        <w:rPr>
          <w:rFonts w:hint="default" w:ascii="Times New Roman" w:hAnsi="Times New Roman" w:eastAsia="黑体" w:cs="Times New Roman"/>
          <w:b w:val="0"/>
          <w:bCs w:val="0"/>
          <w:kern w:val="0"/>
          <w:sz w:val="32"/>
          <w:szCs w:val="32"/>
          <w:lang w:val="en-US" w:eastAsia="zh-CN" w:bidi="ar-SA"/>
        </w:rPr>
        <w:t>三、重点检查内容</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抓住危险化学品企业重大风险管控和重大事故隐患排查治理开展执法检查，督促企业加大安全投入、加快安全技术改造、强化安全风险管控、切实整治事故隐患，提高事故防范能力。对直接执法对象重点检查以下内容:</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（一）依法取得有关安全生产行政许可证照的情况；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w w:val="95"/>
          <w:sz w:val="32"/>
          <w:szCs w:val="32"/>
        </w:rPr>
        <w:t>（二）</w:t>
      </w:r>
      <w:r>
        <w:rPr>
          <w:rFonts w:hint="default" w:ascii="Times New Roman" w:hAnsi="Times New Roman" w:eastAsia="仿宋_GB2312" w:cs="Times New Roman"/>
          <w:sz w:val="32"/>
          <w:szCs w:val="32"/>
        </w:rPr>
        <w:t>生产、储存和使用危险化学品从事化工生产的企业依法每三年进行一次安全评价的情况；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（三）建立和落实安全生产责任制、安全生产规章制度和操作规程、作业规程的情况；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（四）按照国家规定提取和使用安全生产费用，以</w:t>
      </w:r>
      <w:r>
        <w:rPr>
          <w:rFonts w:hint="default" w:ascii="Times New Roman" w:hAnsi="Times New Roman" w:eastAsia="仿宋_GB2312" w:cs="Times New Roman"/>
          <w:w w:val="95"/>
          <w:sz w:val="32"/>
          <w:szCs w:val="32"/>
        </w:rPr>
        <w:t>及其他</w:t>
      </w:r>
      <w:r>
        <w:rPr>
          <w:rFonts w:hint="default" w:ascii="Times New Roman" w:hAnsi="Times New Roman" w:eastAsia="仿宋_GB2312" w:cs="Times New Roman"/>
          <w:sz w:val="32"/>
          <w:szCs w:val="32"/>
        </w:rPr>
        <w:t>安全生产投入的情况；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（五）依法设置安全生产管理机构和配备安全生产管理人员的情况；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（六）从业人员受到安全生产教育、培训，取得有关安全 培训合格证书的情况；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（七）新建、改建、扩建危险化学品项目的安全设施与主体工程同时设计、同时施工、同时投入生产和使用，以及按规 定办理设计审查和自主实施竣工验收的情况；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（八）在有较大危险因素的生产经营场所和有关设施、设备上，设置安全警示标志的情况；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（九）对安全设备设施的维护、保养、定期检测的情况；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（十）重大危险源登记建档、定期检测、评估、监控和制定应急预案的情况；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（十一）教育和督促从业人员严格执行本单位的安全生产规章制度和安全操作规程，并向从业人员如实告知作业场所和工作岗位存在的危险因素、防范措施以及事故应急措施的情况；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（十二）为从业人员提供符合国家标准或者行业标准的劳动防护用品，并监督、教育从业人员按照使用规则正确佩戴和使用的情况</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 xml:space="preserve">    </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三）在同一作业区域内进行生产经营活动，可能危及对方生产安全的，与对方签订安全生产管理协议，明确各自的安全生产管理职责和应当采取的安全措施，并指定专职安全生产管理人员进行安全检查与协调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（十四）对承包单位、承租单位的安全生产工作实行统一协调、管理的情况；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（十五）组织安全生产检查，及时排查治理生产安全事故隐患的情况；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（十六）制定、实施生产安全事故应急预案，以及有关应急预案备案的情况；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（十七）建立应急救援组织或者兼职救援队伍、签订应急救援协议，以及应急救援器材、设备的配备、维护、保养的情况；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（十八）按照规定报告本单位生产安全事故的情况；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（十九）依法应当监督检查的其他情况。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60" w:firstLineChars="200"/>
        <w:textAlignment w:val="auto"/>
        <w:rPr>
          <w:rFonts w:hint="default" w:ascii="Times New Roman" w:hAnsi="Times New Roman" w:eastAsia="黑体" w:cs="Times New Roman"/>
          <w:spacing w:val="-12"/>
          <w:w w:val="95"/>
          <w:sz w:val="32"/>
          <w:szCs w:val="32"/>
        </w:rPr>
      </w:pPr>
      <w:r>
        <w:rPr>
          <w:rFonts w:hint="default" w:ascii="Times New Roman" w:hAnsi="Times New Roman" w:eastAsia="黑体" w:cs="Times New Roman"/>
          <w:spacing w:val="-12"/>
          <w:w w:val="95"/>
          <w:sz w:val="32"/>
          <w:szCs w:val="32"/>
        </w:rPr>
        <w:t>四、</w:t>
      </w:r>
      <w:r>
        <w:rPr>
          <w:rFonts w:hint="default" w:ascii="Times New Roman" w:hAnsi="Times New Roman" w:eastAsia="黑体" w:cs="Times New Roman"/>
          <w:spacing w:val="-12"/>
          <w:w w:val="95"/>
          <w:sz w:val="32"/>
          <w:szCs w:val="32"/>
          <w:lang w:eastAsia="zh-CN"/>
        </w:rPr>
        <w:t>重点</w:t>
      </w:r>
      <w:r>
        <w:rPr>
          <w:rFonts w:hint="default" w:ascii="Times New Roman" w:hAnsi="Times New Roman" w:eastAsia="黑体" w:cs="Times New Roman"/>
          <w:spacing w:val="-12"/>
          <w:w w:val="95"/>
          <w:sz w:val="32"/>
          <w:szCs w:val="32"/>
        </w:rPr>
        <w:t>监管执法对象</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按照分类分级实施安全监管执法的要求，</w:t>
      </w:r>
      <w:r>
        <w:rPr>
          <w:rFonts w:hint="default" w:ascii="Times New Roman" w:hAnsi="Times New Roman" w:eastAsia="仿宋_GB2312" w:cs="Times New Roman"/>
          <w:sz w:val="32"/>
          <w:szCs w:val="32"/>
          <w:lang w:eastAsia="zh-CN"/>
        </w:rPr>
        <w:t>宁乡</w:t>
      </w:r>
      <w:r>
        <w:rPr>
          <w:rFonts w:hint="default" w:ascii="Times New Roman" w:hAnsi="Times New Roman" w:eastAsia="仿宋_GB2312" w:cs="Times New Roman"/>
          <w:sz w:val="32"/>
          <w:szCs w:val="32"/>
        </w:rPr>
        <w:t>市应急管理局主要负责指导、协调和监督</w:t>
      </w:r>
      <w:r>
        <w:rPr>
          <w:rFonts w:hint="default" w:ascii="Times New Roman" w:hAnsi="Times New Roman" w:eastAsia="仿宋_GB2312" w:cs="Times New Roman"/>
          <w:sz w:val="32"/>
          <w:szCs w:val="32"/>
          <w:lang w:eastAsia="zh-CN"/>
        </w:rPr>
        <w:t>宁乡</w:t>
      </w:r>
      <w:r>
        <w:rPr>
          <w:rFonts w:hint="default" w:ascii="Times New Roman" w:hAnsi="Times New Roman" w:eastAsia="仿宋_GB2312" w:cs="Times New Roman"/>
          <w:sz w:val="32"/>
          <w:szCs w:val="32"/>
        </w:rPr>
        <w:t>市地区危险化学品安全监管执法工作，并对下列执法对象进行重点监管执法。</w:t>
      </w:r>
    </w:p>
    <w:p>
      <w:pPr>
        <w:pStyle w:val="7"/>
        <w:keepNext w:val="0"/>
        <w:keepLines w:val="0"/>
        <w:pageBreakBefore w:val="0"/>
        <w:kinsoku/>
        <w:wordWrap/>
        <w:overflowPunct/>
        <w:topLinePunct w:val="0"/>
        <w:autoSpaceDE w:val="0"/>
        <w:autoSpaceDN w:val="0"/>
        <w:bidi w:val="0"/>
        <w:spacing w:before="0" w:line="560" w:lineRule="exact"/>
        <w:ind w:left="0"/>
        <w:rPr>
          <w:rFonts w:hint="default" w:ascii="Times New Roman" w:hAnsi="Times New Roman" w:cs="Times New Roman"/>
          <w:sz w:val="23"/>
        </w:rPr>
      </w:pPr>
    </w:p>
    <w:tbl>
      <w:tblPr>
        <w:tblStyle w:val="11"/>
        <w:tblW w:w="0" w:type="auto"/>
        <w:tblInd w:w="3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1"/>
        <w:gridCol w:w="4394"/>
        <w:gridCol w:w="36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11" w:type="dxa"/>
            <w:vAlign w:val="center"/>
          </w:tcPr>
          <w:p>
            <w:pPr>
              <w:pStyle w:val="17"/>
              <w:keepNext w:val="0"/>
              <w:keepLines w:val="0"/>
              <w:pageBreakBefore w:val="0"/>
              <w:kinsoku/>
              <w:wordWrap/>
              <w:overflowPunct/>
              <w:topLinePunct w:val="0"/>
              <w:autoSpaceDE w:val="0"/>
              <w:autoSpaceDN w:val="0"/>
              <w:bidi w:val="0"/>
              <w:spacing w:before="0" w:line="560" w:lineRule="exact"/>
              <w:ind w:left="155" w:right="147"/>
              <w:jc w:val="center"/>
              <w:rPr>
                <w:rFonts w:hint="default" w:ascii="Times New Roman" w:hAnsi="Times New Roman" w:eastAsia="黑体" w:cs="Times New Roman"/>
                <w:b/>
                <w:sz w:val="24"/>
              </w:rPr>
            </w:pPr>
            <w:r>
              <w:rPr>
                <w:rFonts w:hint="default" w:ascii="Times New Roman" w:hAnsi="Times New Roman" w:eastAsia="黑体" w:cs="Times New Roman"/>
                <w:b/>
                <w:w w:val="95"/>
                <w:sz w:val="24"/>
              </w:rPr>
              <w:t>序号</w:t>
            </w:r>
          </w:p>
        </w:tc>
        <w:tc>
          <w:tcPr>
            <w:tcW w:w="4394" w:type="dxa"/>
            <w:vAlign w:val="center"/>
          </w:tcPr>
          <w:p>
            <w:pPr>
              <w:pStyle w:val="17"/>
              <w:keepNext w:val="0"/>
              <w:keepLines w:val="0"/>
              <w:pageBreakBefore w:val="0"/>
              <w:kinsoku/>
              <w:wordWrap/>
              <w:overflowPunct/>
              <w:topLinePunct w:val="0"/>
              <w:autoSpaceDE w:val="0"/>
              <w:autoSpaceDN w:val="0"/>
              <w:bidi w:val="0"/>
              <w:spacing w:before="0" w:line="560" w:lineRule="exact"/>
              <w:ind w:right="126"/>
              <w:jc w:val="center"/>
              <w:rPr>
                <w:rFonts w:hint="default" w:ascii="Times New Roman" w:hAnsi="Times New Roman" w:eastAsia="黑体" w:cs="Times New Roman"/>
                <w:b/>
                <w:sz w:val="24"/>
              </w:rPr>
            </w:pPr>
            <w:r>
              <w:rPr>
                <w:rFonts w:hint="default" w:ascii="Times New Roman" w:hAnsi="Times New Roman" w:eastAsia="黑体" w:cs="Times New Roman"/>
                <w:b/>
                <w:sz w:val="24"/>
              </w:rPr>
              <w:t>单位名称</w:t>
            </w:r>
          </w:p>
        </w:tc>
        <w:tc>
          <w:tcPr>
            <w:tcW w:w="3600" w:type="dxa"/>
            <w:vAlign w:val="center"/>
          </w:tcPr>
          <w:p>
            <w:pPr>
              <w:pStyle w:val="17"/>
              <w:keepNext w:val="0"/>
              <w:keepLines w:val="0"/>
              <w:pageBreakBefore w:val="0"/>
              <w:kinsoku/>
              <w:wordWrap/>
              <w:overflowPunct/>
              <w:topLinePunct w:val="0"/>
              <w:autoSpaceDE w:val="0"/>
              <w:autoSpaceDN w:val="0"/>
              <w:bidi w:val="0"/>
              <w:spacing w:before="0" w:line="560" w:lineRule="exact"/>
              <w:ind w:right="207"/>
              <w:jc w:val="center"/>
              <w:rPr>
                <w:rFonts w:hint="default" w:ascii="Times New Roman" w:hAnsi="Times New Roman" w:eastAsia="黑体" w:cs="Times New Roman"/>
                <w:b/>
                <w:sz w:val="24"/>
              </w:rPr>
            </w:pPr>
            <w:r>
              <w:rPr>
                <w:rFonts w:hint="default" w:ascii="Times New Roman" w:hAnsi="Times New Roman" w:eastAsia="黑体" w:cs="Times New Roman"/>
                <w:b/>
                <w:sz w:val="24"/>
              </w:rPr>
              <w:t>详细地址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811" w:type="dxa"/>
            <w:vAlign w:val="center"/>
          </w:tcPr>
          <w:p>
            <w:pPr>
              <w:pStyle w:val="7"/>
              <w:keepNext w:val="0"/>
              <w:keepLines w:val="0"/>
              <w:pageBreakBefore w:val="0"/>
              <w:widowControl w:val="0"/>
              <w:kinsoku/>
              <w:wordWrap/>
              <w:overflowPunct/>
              <w:topLinePunct w:val="0"/>
              <w:autoSpaceDE w:val="0"/>
              <w:autoSpaceDN w:val="0"/>
              <w:bidi w:val="0"/>
              <w:adjustRightInd/>
              <w:snapToGrid/>
              <w:spacing w:before="0" w:line="560" w:lineRule="exact"/>
              <w:ind w:right="0"/>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p>
        </w:tc>
        <w:tc>
          <w:tcPr>
            <w:tcW w:w="4394" w:type="dxa"/>
            <w:vAlign w:val="center"/>
          </w:tcPr>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宁乡市丰联加油站</w:t>
            </w:r>
          </w:p>
        </w:tc>
        <w:tc>
          <w:tcPr>
            <w:tcW w:w="3600" w:type="dxa"/>
            <w:vAlign w:val="center"/>
          </w:tcPr>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宁乡市金洲镇关山社区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811" w:type="dxa"/>
            <w:vAlign w:val="center"/>
          </w:tcPr>
          <w:p>
            <w:pPr>
              <w:pStyle w:val="17"/>
              <w:keepNext w:val="0"/>
              <w:keepLines w:val="0"/>
              <w:pageBreakBefore w:val="0"/>
              <w:kinsoku/>
              <w:wordWrap/>
              <w:overflowPunct/>
              <w:topLinePunct w:val="0"/>
              <w:autoSpaceDE w:val="0"/>
              <w:autoSpaceDN w:val="0"/>
              <w:bidi w:val="0"/>
              <w:spacing w:before="0" w:line="560" w:lineRule="exact"/>
              <w:ind w:left="155" w:right="147"/>
              <w:jc w:val="center"/>
              <w:rPr>
                <w:rFonts w:hint="default" w:ascii="Times New Roman" w:hAnsi="Times New Roman" w:cs="Times New Roman"/>
                <w:sz w:val="24"/>
              </w:rPr>
            </w:pPr>
          </w:p>
        </w:tc>
        <w:tc>
          <w:tcPr>
            <w:tcW w:w="4394" w:type="dxa"/>
            <w:vAlign w:val="center"/>
          </w:tcPr>
          <w:p>
            <w:pPr>
              <w:pStyle w:val="17"/>
              <w:keepNext w:val="0"/>
              <w:keepLines w:val="0"/>
              <w:pageBreakBefore w:val="0"/>
              <w:kinsoku/>
              <w:wordWrap/>
              <w:overflowPunct/>
              <w:topLinePunct w:val="0"/>
              <w:autoSpaceDE w:val="0"/>
              <w:autoSpaceDN w:val="0"/>
              <w:bidi w:val="0"/>
              <w:spacing w:before="0" w:line="560" w:lineRule="exact"/>
              <w:ind w:left="135" w:right="128"/>
              <w:jc w:val="center"/>
              <w:rPr>
                <w:rFonts w:hint="default" w:ascii="Times New Roman" w:hAnsi="Times New Roman" w:cs="Times New Roman"/>
                <w:sz w:val="24"/>
              </w:rPr>
            </w:pPr>
          </w:p>
        </w:tc>
        <w:tc>
          <w:tcPr>
            <w:tcW w:w="3600" w:type="dxa"/>
            <w:vAlign w:val="center"/>
          </w:tcPr>
          <w:p>
            <w:pPr>
              <w:pStyle w:val="17"/>
              <w:keepNext w:val="0"/>
              <w:keepLines w:val="0"/>
              <w:pageBreakBefore w:val="0"/>
              <w:kinsoku/>
              <w:wordWrap/>
              <w:overflowPunct/>
              <w:topLinePunct w:val="0"/>
              <w:autoSpaceDE w:val="0"/>
              <w:autoSpaceDN w:val="0"/>
              <w:bidi w:val="0"/>
              <w:spacing w:before="0" w:line="560" w:lineRule="exact"/>
              <w:ind w:left="219" w:right="210"/>
              <w:jc w:val="center"/>
              <w:rPr>
                <w:rFonts w:hint="default"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811" w:type="dxa"/>
            <w:vAlign w:val="center"/>
          </w:tcPr>
          <w:p>
            <w:pPr>
              <w:pStyle w:val="17"/>
              <w:keepNext w:val="0"/>
              <w:keepLines w:val="0"/>
              <w:pageBreakBefore w:val="0"/>
              <w:kinsoku/>
              <w:wordWrap/>
              <w:overflowPunct/>
              <w:topLinePunct w:val="0"/>
              <w:autoSpaceDE w:val="0"/>
              <w:autoSpaceDN w:val="0"/>
              <w:bidi w:val="0"/>
              <w:spacing w:before="0" w:line="560" w:lineRule="exact"/>
              <w:ind w:left="155" w:right="147"/>
              <w:jc w:val="center"/>
              <w:rPr>
                <w:rFonts w:hint="default" w:ascii="Times New Roman" w:hAnsi="Times New Roman" w:cs="Times New Roman"/>
                <w:sz w:val="24"/>
              </w:rPr>
            </w:pPr>
          </w:p>
        </w:tc>
        <w:tc>
          <w:tcPr>
            <w:tcW w:w="4394" w:type="dxa"/>
            <w:vAlign w:val="center"/>
          </w:tcPr>
          <w:p>
            <w:pPr>
              <w:pStyle w:val="17"/>
              <w:keepNext w:val="0"/>
              <w:keepLines w:val="0"/>
              <w:pageBreakBefore w:val="0"/>
              <w:kinsoku/>
              <w:wordWrap/>
              <w:overflowPunct/>
              <w:topLinePunct w:val="0"/>
              <w:autoSpaceDE w:val="0"/>
              <w:autoSpaceDN w:val="0"/>
              <w:bidi w:val="0"/>
              <w:spacing w:before="0" w:line="560" w:lineRule="exact"/>
              <w:ind w:left="135" w:right="128"/>
              <w:jc w:val="center"/>
              <w:rPr>
                <w:rFonts w:hint="default" w:ascii="Times New Roman" w:hAnsi="Times New Roman" w:cs="Times New Roman"/>
                <w:sz w:val="24"/>
              </w:rPr>
            </w:pPr>
          </w:p>
        </w:tc>
        <w:tc>
          <w:tcPr>
            <w:tcW w:w="3600" w:type="dxa"/>
            <w:vAlign w:val="center"/>
          </w:tcPr>
          <w:p>
            <w:pPr>
              <w:pStyle w:val="17"/>
              <w:keepNext w:val="0"/>
              <w:keepLines w:val="0"/>
              <w:pageBreakBefore w:val="0"/>
              <w:kinsoku/>
              <w:wordWrap/>
              <w:overflowPunct/>
              <w:topLinePunct w:val="0"/>
              <w:autoSpaceDE w:val="0"/>
              <w:autoSpaceDN w:val="0"/>
              <w:bidi w:val="0"/>
              <w:spacing w:before="0" w:line="560" w:lineRule="exact"/>
              <w:ind w:left="1019" w:right="708" w:hanging="300"/>
              <w:jc w:val="center"/>
              <w:rPr>
                <w:rFonts w:hint="default"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811" w:type="dxa"/>
            <w:vAlign w:val="center"/>
          </w:tcPr>
          <w:p>
            <w:pPr>
              <w:pStyle w:val="17"/>
              <w:keepNext w:val="0"/>
              <w:keepLines w:val="0"/>
              <w:pageBreakBefore w:val="0"/>
              <w:kinsoku/>
              <w:wordWrap/>
              <w:overflowPunct/>
              <w:topLinePunct w:val="0"/>
              <w:autoSpaceDE w:val="0"/>
              <w:autoSpaceDN w:val="0"/>
              <w:bidi w:val="0"/>
              <w:spacing w:before="0" w:line="560" w:lineRule="exact"/>
              <w:ind w:left="155" w:right="147"/>
              <w:jc w:val="center"/>
              <w:rPr>
                <w:rFonts w:hint="default" w:ascii="Times New Roman" w:hAnsi="Times New Roman" w:cs="Times New Roman"/>
                <w:sz w:val="24"/>
              </w:rPr>
            </w:pPr>
          </w:p>
        </w:tc>
        <w:tc>
          <w:tcPr>
            <w:tcW w:w="4394" w:type="dxa"/>
            <w:vAlign w:val="center"/>
          </w:tcPr>
          <w:p>
            <w:pPr>
              <w:pStyle w:val="17"/>
              <w:keepNext w:val="0"/>
              <w:keepLines w:val="0"/>
              <w:pageBreakBefore w:val="0"/>
              <w:kinsoku/>
              <w:wordWrap/>
              <w:overflowPunct/>
              <w:topLinePunct w:val="0"/>
              <w:autoSpaceDE w:val="0"/>
              <w:autoSpaceDN w:val="0"/>
              <w:bidi w:val="0"/>
              <w:spacing w:before="0" w:line="560" w:lineRule="exact"/>
              <w:ind w:left="135" w:right="128"/>
              <w:jc w:val="center"/>
              <w:rPr>
                <w:rFonts w:hint="default" w:ascii="Times New Roman" w:hAnsi="Times New Roman" w:cs="Times New Roman"/>
                <w:sz w:val="24"/>
              </w:rPr>
            </w:pPr>
          </w:p>
        </w:tc>
        <w:tc>
          <w:tcPr>
            <w:tcW w:w="3600" w:type="dxa"/>
            <w:vAlign w:val="center"/>
          </w:tcPr>
          <w:p>
            <w:pPr>
              <w:pStyle w:val="17"/>
              <w:keepNext w:val="0"/>
              <w:keepLines w:val="0"/>
              <w:pageBreakBefore w:val="0"/>
              <w:kinsoku/>
              <w:wordWrap/>
              <w:overflowPunct/>
              <w:topLinePunct w:val="0"/>
              <w:autoSpaceDE w:val="0"/>
              <w:autoSpaceDN w:val="0"/>
              <w:bidi w:val="0"/>
              <w:spacing w:before="0" w:line="560" w:lineRule="exact"/>
              <w:ind w:left="959" w:right="588" w:hanging="360"/>
              <w:jc w:val="center"/>
              <w:rPr>
                <w:rFonts w:hint="default" w:ascii="Times New Roman" w:hAnsi="Times New Roman" w:cs="Times New Roman"/>
                <w:sz w:val="24"/>
              </w:rPr>
            </w:pPr>
          </w:p>
        </w:tc>
      </w:tr>
    </w:tbl>
    <w:p>
      <w:pPr>
        <w:pStyle w:val="7"/>
        <w:keepNext w:val="0"/>
        <w:keepLines w:val="0"/>
        <w:pageBreakBefore w:val="0"/>
        <w:widowControl w:val="0"/>
        <w:kinsoku/>
        <w:wordWrap/>
        <w:overflowPunct/>
        <w:topLinePunct w:val="0"/>
        <w:autoSpaceDE w:val="0"/>
        <w:autoSpaceDN w:val="0"/>
        <w:bidi w:val="0"/>
        <w:adjustRightInd/>
        <w:snapToGrid/>
        <w:spacing w:before="0" w:line="20" w:lineRule="exact"/>
        <w:ind w:left="0" w:leftChars="0" w:right="0" w:firstLine="0" w:firstLineChars="0"/>
        <w:jc w:val="left"/>
        <w:textAlignment w:val="auto"/>
        <w:rPr>
          <w:rFonts w:hint="eastAsia" w:ascii="Times New Roman" w:hAnsi="Times New Roman" w:cs="Times New Roman"/>
          <w:lang w:val="en-US" w:eastAsia="zh-CN"/>
        </w:rPr>
      </w:pPr>
      <w:bookmarkStart w:id="0" w:name="_GoBack"/>
      <w:bookmarkEnd w:id="0"/>
    </w:p>
    <w:sectPr>
      <w:footerReference r:id="rId5" w:type="default"/>
      <w:footerReference r:id="rId6" w:type="even"/>
      <w:pgSz w:w="11850" w:h="16790"/>
      <w:pgMar w:top="2098" w:right="1474" w:bottom="1984" w:left="1587" w:header="0" w:footer="990" w:gutter="0"/>
      <w:pgNumType w:fmt="decimal"/>
      <w:cols w:space="72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Droid Sans Fallback"/>
    <w:panose1 w:val="02020500000000000000"/>
    <w:charset w:val="88"/>
    <w:family w:val="roman"/>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Microsoft JhengHei">
    <w:altName w:val="宋体"/>
    <w:panose1 w:val="020B0604030504040204"/>
    <w:charset w:val="88"/>
    <w:family w:val="swiss"/>
    <w:pitch w:val="default"/>
    <w:sig w:usb0="00000000" w:usb1="00000000" w:usb2="00000016" w:usb3="00000000" w:csb0="00100009"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5748020</wp:posOffset>
              </wp:positionH>
              <wp:positionV relativeFrom="page">
                <wp:posOffset>9886950</wp:posOffset>
              </wp:positionV>
              <wp:extent cx="685800" cy="224790"/>
              <wp:effectExtent l="0" t="0" r="0" b="0"/>
              <wp:wrapNone/>
              <wp:docPr id="13" name="文本框 4"/>
              <wp:cNvGraphicFramePr/>
              <a:graphic xmlns:a="http://schemas.openxmlformats.org/drawingml/2006/main">
                <a:graphicData uri="http://schemas.microsoft.com/office/word/2010/wordprocessingShape">
                  <wps:wsp>
                    <wps:cNvSpPr txBox="1"/>
                    <wps:spPr>
                      <a:xfrm>
                        <a:off x="0" y="0"/>
                        <a:ext cx="685800" cy="224790"/>
                      </a:xfrm>
                      <a:prstGeom prst="rect">
                        <a:avLst/>
                      </a:prstGeom>
                      <a:noFill/>
                      <a:ln>
                        <a:noFill/>
                      </a:ln>
                    </wps:spPr>
                    <wps:txbx>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t>13</w:t>
                          </w:r>
                          <w:r>
                            <w:fldChar w:fldCharType="end"/>
                          </w:r>
                          <w:r>
                            <w:rPr>
                              <w:rFonts w:ascii="Times New Roman" w:hAnsi="Times New Roman"/>
                              <w:spacing w:val="-1"/>
                              <w:sz w:val="28"/>
                            </w:rPr>
                            <w:t xml:space="preserve"> </w:t>
                          </w:r>
                          <w:r>
                            <w:rPr>
                              <w:rFonts w:ascii="Times New Roman" w:hAnsi="Times New Roman"/>
                              <w:sz w:val="28"/>
                            </w:rPr>
                            <w:t>—</w:t>
                          </w:r>
                        </w:p>
                      </w:txbxContent>
                    </wps:txbx>
                    <wps:bodyPr lIns="0" tIns="0" rIns="0" bIns="0" upright="1"/>
                  </wps:wsp>
                </a:graphicData>
              </a:graphic>
            </wp:anchor>
          </w:drawing>
        </mc:Choice>
        <mc:Fallback>
          <w:pict>
            <v:shape id="文本框 4" o:spid="_x0000_s1026" o:spt="202" type="#_x0000_t202" style="position:absolute;left:0pt;margin-left:452.6pt;margin-top:778.5pt;height:17.7pt;width:54pt;mso-position-horizontal-relative:page;mso-position-vertical-relative:page;z-index:-251656192;mso-width-relative:page;mso-height-relative:page;" filled="f" stroked="f" coordsize="21600,21600" o:gfxdata="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">
              <v:fill on="f" focussize="0,0"/>
              <v:stroke on="f"/>
              <v:imagedata o:title=""/>
              <o:lock v:ext="edit" aspectratio="f"/>
              <v:textbox inset="0mm,0mm,0mm,0mm">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t>13</w:t>
                    </w:r>
                    <w:r>
                      <w:fldChar w:fldCharType="end"/>
                    </w:r>
                    <w:r>
                      <w:rPr>
                        <w:rFonts w:ascii="Times New Roman" w:hAnsi="Times New Roman"/>
                        <w:spacing w:val="-1"/>
                        <w:sz w:val="28"/>
                      </w:rPr>
                      <w:t xml:space="preserve"> </w:t>
                    </w:r>
                    <w:r>
                      <w:rPr>
                        <w:rFonts w:ascii="Times New Roman" w:hAnsi="Times New Roman"/>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mc:AlternateContent>
        <mc:Choice Requires="wps">
          <w:drawing>
            <wp:anchor distT="0" distB="0" distL="114300" distR="114300" simplePos="0" relativeHeight="251659264" behindDoc="1" locked="0" layoutInCell="1" allowOverlap="1">
              <wp:simplePos x="0" y="0"/>
              <wp:positionH relativeFrom="page">
                <wp:posOffset>959485</wp:posOffset>
              </wp:positionH>
              <wp:positionV relativeFrom="page">
                <wp:posOffset>9886950</wp:posOffset>
              </wp:positionV>
              <wp:extent cx="687070" cy="22479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687070" cy="224790"/>
                      </a:xfrm>
                      <a:prstGeom prst="rect">
                        <a:avLst/>
                      </a:prstGeom>
                      <a:noFill/>
                      <a:ln>
                        <a:noFill/>
                      </a:ln>
                    </wps:spPr>
                    <wps:txbx>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t>10</w:t>
                          </w:r>
                          <w:r>
                            <w:fldChar w:fldCharType="end"/>
                          </w:r>
                          <w:r>
                            <w:rPr>
                              <w:rFonts w:ascii="Times New Roman" w:hAnsi="Times New Roman"/>
                              <w:spacing w:val="-1"/>
                              <w:sz w:val="28"/>
                            </w:rPr>
                            <w:t xml:space="preserve"> </w:t>
                          </w:r>
                          <w:r>
                            <w:rPr>
                              <w:rFonts w:ascii="Times New Roman" w:hAnsi="Times New Roman"/>
                              <w:sz w:val="28"/>
                            </w:rPr>
                            <w:t>—</w:t>
                          </w:r>
                        </w:p>
                      </w:txbxContent>
                    </wps:txbx>
                    <wps:bodyPr lIns="0" tIns="0" rIns="0" bIns="0" upright="1"/>
                  </wps:wsp>
                </a:graphicData>
              </a:graphic>
            </wp:anchor>
          </w:drawing>
        </mc:Choice>
        <mc:Fallback>
          <w:pict>
            <v:shape id="文本框 3" o:spid="_x0000_s1026" o:spt="202" type="#_x0000_t202" style="position:absolute;left:0pt;margin-left:75.55pt;margin-top:778.5pt;height:17.7pt;width:54.1pt;mso-position-horizontal-relative:page;mso-position-vertical-relative:page;z-index:-251657216;mso-width-relative:page;mso-height-relative:page;" filled="f" stroked="f" coordsize="21600,21600" o:gfxdata="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">
              <v:fill on="f" focussize="0,0"/>
              <v:stroke on="f"/>
              <v:imagedata o:title=""/>
              <o:lock v:ext="edit" aspectratio="f"/>
              <v:textbox inset="0mm,0mm,0mm,0mm">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t>10</w:t>
                    </w:r>
                    <w:r>
                      <w:fldChar w:fldCharType="end"/>
                    </w:r>
                    <w:r>
                      <w:rPr>
                        <w:rFonts w:ascii="Times New Roman" w:hAnsi="Times New Roman"/>
                        <w:spacing w:val="-1"/>
                        <w:sz w:val="28"/>
                      </w:rPr>
                      <w:t xml:space="preserve"> </w:t>
                    </w:r>
                    <w:r>
                      <w:rPr>
                        <w:rFonts w:ascii="Times New Roman" w:hAnsi="Times New Roman"/>
                        <w:sz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3"/>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5MmE3YjdhZjM0YzI4N2U1ZGI4ODFjMDU3ODY1MzAifQ=="/>
  </w:docVars>
  <w:rsids>
    <w:rsidRoot w:val="00000000"/>
    <w:rsid w:val="00D10545"/>
    <w:rsid w:val="02976249"/>
    <w:rsid w:val="04C83375"/>
    <w:rsid w:val="07316475"/>
    <w:rsid w:val="07B32821"/>
    <w:rsid w:val="0AA30A0F"/>
    <w:rsid w:val="0C33433D"/>
    <w:rsid w:val="0C6B486C"/>
    <w:rsid w:val="109E6D51"/>
    <w:rsid w:val="145807B9"/>
    <w:rsid w:val="19C116C1"/>
    <w:rsid w:val="22EF73B1"/>
    <w:rsid w:val="24A22093"/>
    <w:rsid w:val="24CE2837"/>
    <w:rsid w:val="24DF57F9"/>
    <w:rsid w:val="27D746B3"/>
    <w:rsid w:val="27FD1D81"/>
    <w:rsid w:val="27FE0046"/>
    <w:rsid w:val="2D054ABC"/>
    <w:rsid w:val="2F1F6DA3"/>
    <w:rsid w:val="2F873758"/>
    <w:rsid w:val="31C85D8D"/>
    <w:rsid w:val="34463ECA"/>
    <w:rsid w:val="398F1893"/>
    <w:rsid w:val="41103282"/>
    <w:rsid w:val="41DD6D76"/>
    <w:rsid w:val="51693FFA"/>
    <w:rsid w:val="52B753C1"/>
    <w:rsid w:val="571E3E8E"/>
    <w:rsid w:val="59B241EC"/>
    <w:rsid w:val="5B303F63"/>
    <w:rsid w:val="5B6E45B3"/>
    <w:rsid w:val="5C783AB8"/>
    <w:rsid w:val="5E856D27"/>
    <w:rsid w:val="60642418"/>
    <w:rsid w:val="66D93700"/>
    <w:rsid w:val="6873224A"/>
    <w:rsid w:val="6FCF5C5E"/>
    <w:rsid w:val="70944063"/>
    <w:rsid w:val="71D540E8"/>
    <w:rsid w:val="728F2355"/>
    <w:rsid w:val="74A816DC"/>
    <w:rsid w:val="7B077558"/>
    <w:rsid w:val="7CEB29CC"/>
    <w:rsid w:val="7DCE6F97"/>
    <w:rsid w:val="7EEE4070"/>
    <w:rsid w:val="7F386678"/>
    <w:rsid w:val="FBF763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4">
    <w:name w:val="heading 1"/>
    <w:basedOn w:val="1"/>
    <w:next w:val="1"/>
    <w:qFormat/>
    <w:uiPriority w:val="1"/>
    <w:pPr>
      <w:ind w:left="1533" w:right="1677"/>
      <w:outlineLvl w:val="1"/>
    </w:pPr>
    <w:rPr>
      <w:rFonts w:ascii="PMingLiU" w:hAnsi="PMingLiU" w:eastAsia="PMingLiU" w:cs="PMingLiU"/>
      <w:sz w:val="44"/>
      <w:szCs w:val="44"/>
      <w:lang w:val="en-US" w:eastAsia="zh-CN" w:bidi="ar-SA"/>
    </w:rPr>
  </w:style>
  <w:style w:type="paragraph" w:styleId="5">
    <w:name w:val="heading 2"/>
    <w:basedOn w:val="1"/>
    <w:next w:val="1"/>
    <w:qFormat/>
    <w:uiPriority w:val="1"/>
    <w:pPr>
      <w:spacing w:line="485" w:lineRule="exact"/>
      <w:ind w:left="951"/>
      <w:outlineLvl w:val="2"/>
    </w:pPr>
    <w:rPr>
      <w:rFonts w:ascii="Microsoft JhengHei" w:hAnsi="Microsoft JhengHei" w:eastAsia="Microsoft JhengHei" w:cs="Microsoft JhengHei"/>
      <w:b/>
      <w:bCs/>
      <w:sz w:val="32"/>
      <w:szCs w:val="32"/>
      <w:lang w:val="en-US" w:eastAsia="zh-CN" w:bidi="ar-SA"/>
    </w:rPr>
  </w:style>
  <w:style w:type="character" w:default="1" w:styleId="13">
    <w:name w:val="Default Paragraph Font"/>
    <w:semiHidden/>
    <w:unhideWhenUsed/>
    <w:qFormat/>
    <w:uiPriority w:val="1"/>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0" w:leftChars="0" w:firstLine="40"/>
    </w:pPr>
    <w:rPr>
      <w:rFonts w:ascii="仿宋_GB2312" w:hAnsi="仿宋_GB2312" w:eastAsia="仿宋" w:cs="仿宋_GB2312"/>
      <w:sz w:val="32"/>
      <w:szCs w:val="32"/>
    </w:rPr>
  </w:style>
  <w:style w:type="paragraph" w:styleId="3">
    <w:name w:val="Body Text Indent"/>
    <w:basedOn w:val="1"/>
    <w:unhideWhenUsed/>
    <w:qFormat/>
    <w:uiPriority w:val="99"/>
    <w:pPr>
      <w:spacing w:after="120"/>
      <w:ind w:left="420" w:leftChars="200"/>
    </w:pPr>
  </w:style>
  <w:style w:type="paragraph" w:styleId="6">
    <w:name w:val="Normal Indent"/>
    <w:basedOn w:val="1"/>
    <w:qFormat/>
    <w:uiPriority w:val="0"/>
    <w:pPr>
      <w:ind w:firstLine="420" w:firstLineChars="200"/>
    </w:pPr>
    <w:rPr>
      <w:rFonts w:ascii="Calibri" w:hAnsi="Calibri"/>
    </w:rPr>
  </w:style>
  <w:style w:type="paragraph" w:styleId="7">
    <w:name w:val="Body Text"/>
    <w:basedOn w:val="1"/>
    <w:qFormat/>
    <w:uiPriority w:val="1"/>
    <w:pPr>
      <w:ind w:left="311"/>
    </w:pPr>
    <w:rPr>
      <w:rFonts w:ascii="宋体" w:hAnsi="宋体" w:eastAsia="宋体" w:cs="宋体"/>
      <w:sz w:val="32"/>
      <w:szCs w:val="32"/>
      <w:lang w:val="en-US" w:eastAsia="zh-CN" w:bidi="ar-SA"/>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qFormat/>
    <w:uiPriority w:val="1"/>
    <w:pPr>
      <w:spacing w:before="4"/>
      <w:ind w:left="347"/>
    </w:pPr>
    <w:rPr>
      <w:rFonts w:ascii="PMingLiU" w:hAnsi="PMingLiU" w:eastAsia="PMingLiU" w:cs="PMingLiU"/>
      <w:sz w:val="100"/>
      <w:szCs w:val="100"/>
      <w:lang w:val="en-US" w:eastAsia="zh-CN" w:bidi="ar-SA"/>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ind w:left="311" w:right="456" w:firstLine="640"/>
    </w:pPr>
    <w:rPr>
      <w:rFonts w:ascii="宋体" w:hAnsi="宋体" w:eastAsia="宋体" w:cs="宋体"/>
      <w:lang w:val="en-US" w:eastAsia="zh-CN" w:bidi="ar-SA"/>
    </w:rPr>
  </w:style>
  <w:style w:type="paragraph" w:customStyle="1" w:styleId="17">
    <w:name w:val="Table Paragraph"/>
    <w:basedOn w:val="1"/>
    <w:qFormat/>
    <w:uiPriority w:val="1"/>
    <w:pPr>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6110</Words>
  <Characters>6173</Characters>
  <TotalTime>11</TotalTime>
  <ScaleCrop>false</ScaleCrop>
  <LinksUpToDate>false</LinksUpToDate>
  <CharactersWithSpaces>6209</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2021-04-09T11:19:00Z</dcterms:created>
  <dc:creator>艺宣图文广告</dc:creator>
  <cp:lastModifiedBy>kylin</cp:lastModifiedBy>
  <cp:lastPrinted>2023-12-01T15:57:00Z</cp:lastPrinted>
  <dcterms:modified xsi:type="dcterms:W3CDTF">2025-02-18T09:39:09Z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2021-03-30T00:00:00Z</vt:filetime>
  </property>
  <property fmtid="{D5CDD505-2E9C-101B-9397-08002B2CF9AE}" pid="3" name="Creator">
    <vt:lpwstr>WPS 文字</vt:lpwstr>
  </property>
  <property fmtid="{D5CDD505-2E9C-101B-9397-08002B2CF9AE}" pid="4" name="LastSaved">
    <vt:filetime>2021-04-09T00:00:00Z</vt:filetime>
  </property>
  <property fmtid="{D5CDD505-2E9C-101B-9397-08002B2CF9AE}" pid="5" name="KSOProductBuildVer">
    <vt:lpwstr>2052-11.8.2.11764</vt:lpwstr>
  </property>
  <property fmtid="{D5CDD505-2E9C-101B-9397-08002B2CF9AE}" pid="6" name="ICV">
    <vt:lpwstr>52F27302A0ADD2D7B0E3B3676B4E659D</vt:lpwstr>
  </property>
</Properties>
</file>