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val="0"/>
        <w:autoSpaceDN w:val="0"/>
        <w:bidi w:val="0"/>
        <w:spacing w:before="0" w:line="560" w:lineRule="exact"/>
        <w:rPr>
          <w:rFonts w:hint="default" w:ascii="Times New Roman" w:hAnsi="Times New Roman" w:eastAsia="黑体" w:cs="Times New Roman"/>
          <w:spacing w:val="-12"/>
          <w:w w:val="95"/>
        </w:rPr>
      </w:pPr>
      <w:r>
        <w:rPr>
          <w:rFonts w:hint="default" w:ascii="Times New Roman" w:hAnsi="Times New Roman" w:eastAsia="黑体" w:cs="Times New Roman"/>
          <w:spacing w:val="-12"/>
          <w:w w:val="95"/>
        </w:rPr>
        <w:t>附件2</w:t>
      </w:r>
    </w:p>
    <w:p>
      <w:pPr>
        <w:pStyle w:val="7"/>
        <w:keepNext w:val="0"/>
        <w:keepLines w:val="0"/>
        <w:pageBreakBefore w:val="0"/>
        <w:kinsoku/>
        <w:wordWrap/>
        <w:overflowPunct/>
        <w:topLinePunct w:val="0"/>
        <w:autoSpaceDE w:val="0"/>
        <w:autoSpaceDN w:val="0"/>
        <w:bidi w:val="0"/>
        <w:spacing w:before="0" w:line="560" w:lineRule="exact"/>
        <w:rPr>
          <w:rFonts w:hint="default" w:ascii="Times New Roman" w:hAnsi="Times New Roman" w:eastAsia="黑体" w:cs="Times New Roman"/>
          <w:spacing w:val="-12"/>
          <w:w w:val="95"/>
        </w:rPr>
      </w:pP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0"/>
        <w:jc w:val="center"/>
        <w:textAlignment w:val="auto"/>
        <w:rPr>
          <w:rFonts w:hint="default" w:ascii="Times New Roman" w:hAnsi="Times New Roman" w:eastAsia="方正小标宋简体" w:cs="Times New Roman"/>
        </w:rPr>
      </w:pPr>
      <w:r>
        <w:rPr>
          <w:rFonts w:hint="default" w:ascii="Times New Roman" w:hAnsi="Times New Roman" w:eastAsia="方正小标宋简体" w:cs="Times New Roman"/>
        </w:rPr>
        <w:t>202</w:t>
      </w:r>
      <w:r>
        <w:rPr>
          <w:rFonts w:hint="eastAsia" w:ascii="Times New Roman" w:hAnsi="Times New Roman" w:eastAsia="方正小标宋简体" w:cs="Times New Roman"/>
          <w:lang w:val="en-US" w:eastAsia="zh-CN"/>
        </w:rPr>
        <w:t>5</w:t>
      </w:r>
      <w:r>
        <w:rPr>
          <w:rFonts w:hint="default" w:ascii="Times New Roman" w:hAnsi="Times New Roman" w:eastAsia="方正小标宋简体" w:cs="Times New Roman"/>
        </w:rPr>
        <w:t>年度烟花爆竹行业安全生产监督</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0"/>
        <w:jc w:val="center"/>
        <w:textAlignment w:val="auto"/>
        <w:rPr>
          <w:rFonts w:hint="default" w:ascii="Times New Roman" w:hAnsi="Times New Roman" w:eastAsia="方正小标宋简体" w:cs="Times New Roman"/>
        </w:rPr>
      </w:pPr>
      <w:r>
        <w:rPr>
          <w:rFonts w:hint="default" w:ascii="Times New Roman" w:hAnsi="Times New Roman" w:eastAsia="方正小标宋简体" w:cs="Times New Roman"/>
        </w:rPr>
        <w:t>检查计划</w:t>
      </w:r>
    </w:p>
    <w:p>
      <w:pPr>
        <w:pStyle w:val="7"/>
        <w:keepNext w:val="0"/>
        <w:keepLines w:val="0"/>
        <w:pageBreakBefore w:val="0"/>
        <w:kinsoku/>
        <w:wordWrap/>
        <w:overflowPunct/>
        <w:topLinePunct w:val="0"/>
        <w:autoSpaceDE w:val="0"/>
        <w:autoSpaceDN w:val="0"/>
        <w:bidi w:val="0"/>
        <w:spacing w:before="0" w:line="560" w:lineRule="exact"/>
        <w:ind w:left="0"/>
        <w:rPr>
          <w:rFonts w:hint="default" w:ascii="Times New Roman" w:hAnsi="Times New Roman" w:cs="Times New Roman"/>
          <w:sz w:val="45"/>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一、全镇烟花爆竹生产经营单位基本情况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截至20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年1</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月底，全</w:t>
      </w:r>
      <w:r>
        <w:rPr>
          <w:rFonts w:hint="default" w:ascii="Times New Roman" w:hAnsi="Times New Roman" w:eastAsia="仿宋_GB2312" w:cs="Times New Roman"/>
          <w:sz w:val="32"/>
          <w:szCs w:val="32"/>
          <w:lang w:eastAsia="zh-CN"/>
        </w:rPr>
        <w:t>镇</w:t>
      </w:r>
      <w:r>
        <w:rPr>
          <w:rFonts w:hint="default" w:ascii="Times New Roman" w:hAnsi="Times New Roman" w:eastAsia="仿宋_GB2312" w:cs="Times New Roman"/>
          <w:sz w:val="32"/>
          <w:szCs w:val="32"/>
        </w:rPr>
        <w:t>共有烟花爆竹</w:t>
      </w:r>
      <w:r>
        <w:rPr>
          <w:rFonts w:hint="default" w:ascii="Times New Roman" w:hAnsi="Times New Roman" w:eastAsia="仿宋_GB2312" w:cs="Times New Roman"/>
          <w:sz w:val="32"/>
          <w:szCs w:val="32"/>
          <w:lang w:eastAsia="zh-CN"/>
        </w:rPr>
        <w:t>经营零售点</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024年未发生安全生产事故</w:t>
      </w:r>
      <w:r>
        <w:rPr>
          <w:rFonts w:hint="default" w:ascii="Times New Roman" w:hAnsi="Times New Roman" w:eastAsia="仿宋_GB2312" w:cs="Times New Roman"/>
          <w:sz w:val="32"/>
          <w:szCs w:val="32"/>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640" w:firstLineChars="200"/>
        <w:textAlignment w:val="auto"/>
        <w:rPr>
          <w:rFonts w:hint="default" w:ascii="Times New Roman" w:hAnsi="Times New Roman" w:eastAsia="黑体" w:cs="Times New Roman"/>
          <w:b w:val="0"/>
          <w:bCs w:val="0"/>
          <w:kern w:val="0"/>
          <w:sz w:val="32"/>
          <w:szCs w:val="32"/>
          <w:lang w:val="en-US" w:eastAsia="zh-CN" w:bidi="ar-SA"/>
        </w:rPr>
      </w:pPr>
      <w:r>
        <w:rPr>
          <w:rFonts w:hint="default" w:ascii="Times New Roman" w:hAnsi="Times New Roman" w:eastAsia="黑体" w:cs="Times New Roman"/>
          <w:b w:val="0"/>
          <w:bCs w:val="0"/>
          <w:kern w:val="0"/>
          <w:sz w:val="32"/>
          <w:szCs w:val="32"/>
          <w:lang w:val="en-US" w:eastAsia="zh-CN" w:bidi="ar-SA"/>
        </w:rPr>
        <w:t>二、主要执法依据</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（一）《安全生产法》《行政处罚法》《烟花爆竹安全管理条例》《安全生产许可证条例》《生产安全事故应急条例》《湖南省安全生产条例》；</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烟花爆竹生产企业安全生产许可证实施办法》《烟花爆竹生产经营安全规定》《安全生产违法行为行政处罚办法》《烟花爆竹经营许可实施办法》《安全生产监管监察职责和行政执法责任追究的暂行办法》《安全生产培训管理办法》《生产安全事故应急预案管理办法》；</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（三）《烟花爆竹安全作业技术规程》《烟花爆竹工程设计安全规范》《烟花爆竹安全与质量》；</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（四）其他相关法律法规和标准规范及法规性规范性文件。</w:t>
      </w:r>
    </w:p>
    <w:p>
      <w:pPr>
        <w:keepNext w:val="0"/>
        <w:keepLines w:val="0"/>
        <w:pageBreakBefore w:val="0"/>
        <w:widowControl w:val="0"/>
        <w:kinsoku/>
        <w:wordWrap/>
        <w:overflowPunct/>
        <w:topLinePunct w:val="0"/>
        <w:autoSpaceDE w:val="0"/>
        <w:autoSpaceDN w:val="0"/>
        <w:bidi w:val="0"/>
        <w:adjustRightInd/>
        <w:snapToGrid/>
        <w:spacing w:before="0" w:line="560" w:lineRule="exact"/>
        <w:ind w:right="0" w:firstLine="963" w:firstLineChars="300"/>
        <w:jc w:val="both"/>
        <w:textAlignment w:val="auto"/>
        <w:rPr>
          <w:rFonts w:hint="eastAsia" w:ascii="楷体_GB2312" w:hAnsi="楷体_GB2312" w:eastAsia="楷体_GB2312" w:cs="楷体_GB2312"/>
          <w:b/>
          <w:bCs/>
          <w:sz w:val="32"/>
          <w:szCs w:val="32"/>
          <w:lang w:val="en-US" w:eastAsia="zh-CN" w:bidi="ar-SA"/>
        </w:rPr>
      </w:pPr>
      <w:r>
        <w:rPr>
          <w:rFonts w:hint="eastAsia" w:ascii="楷体_GB2312" w:hAnsi="楷体_GB2312" w:eastAsia="楷体_GB2312" w:cs="楷体_GB2312"/>
          <w:b/>
          <w:bCs/>
          <w:sz w:val="32"/>
          <w:szCs w:val="32"/>
          <w:lang w:val="en-US" w:eastAsia="zh-CN" w:bidi="ar-SA"/>
        </w:rPr>
        <w:t>三、计划检查企业。</w:t>
      </w:r>
    </w:p>
    <w:p>
      <w:pPr>
        <w:keepNext w:val="0"/>
        <w:keepLines w:val="0"/>
        <w:pageBreakBefore w:val="0"/>
        <w:widowControl w:val="0"/>
        <w:kinsoku/>
        <w:wordWrap/>
        <w:overflowPunct/>
        <w:topLinePunct w:val="0"/>
        <w:autoSpaceDE w:val="0"/>
        <w:autoSpaceDN w:val="0"/>
        <w:bidi w:val="0"/>
        <w:adjustRightInd/>
        <w:snapToGrid/>
        <w:spacing w:before="0" w:line="560" w:lineRule="exact"/>
        <w:ind w:right="0"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bidi="ar-SA"/>
        </w:rPr>
        <w:t>根据国家应急部《安全生产年度监督检查计划编制办法》、湖南省应急管理厅《关于推进安全生产分类分级监管执法的指导意见》要求，按照统筹兼顾、分类分级、突出重点、提高效能、留有余地的原则及综合考量执法人员数量，生产经营单位数量、规模、分布、生产状况等因素，确定我镇202</w:t>
      </w:r>
      <w:r>
        <w:rPr>
          <w:rFonts w:hint="eastAsia" w:ascii="Times New Roman" w:hAnsi="Times New Roman" w:eastAsia="仿宋_GB2312" w:cs="Times New Roman"/>
          <w:sz w:val="32"/>
          <w:szCs w:val="32"/>
          <w:lang w:val="en-US" w:eastAsia="zh-CN" w:bidi="ar-SA"/>
        </w:rPr>
        <w:t>5</w:t>
      </w:r>
      <w:r>
        <w:rPr>
          <w:rFonts w:hint="default" w:ascii="Times New Roman" w:hAnsi="Times New Roman" w:eastAsia="仿宋_GB2312" w:cs="Times New Roman"/>
          <w:sz w:val="32"/>
          <w:szCs w:val="32"/>
          <w:lang w:val="en-US" w:eastAsia="zh-CN" w:bidi="ar-SA"/>
        </w:rPr>
        <w:t>年度烟花爆竹行业执法监督检查</w:t>
      </w:r>
      <w:r>
        <w:rPr>
          <w:rFonts w:hint="eastAsia" w:ascii="Times New Roman" w:hAnsi="Times New Roman" w:eastAsia="仿宋_GB2312" w:cs="Times New Roman"/>
          <w:sz w:val="32"/>
          <w:szCs w:val="32"/>
          <w:lang w:val="en-US" w:eastAsia="zh-CN" w:bidi="ar-SA"/>
        </w:rPr>
        <w:t>6</w:t>
      </w:r>
      <w:r>
        <w:rPr>
          <w:rFonts w:hint="default" w:ascii="Times New Roman" w:hAnsi="Times New Roman" w:eastAsia="仿宋_GB2312" w:cs="Times New Roman"/>
          <w:sz w:val="32"/>
          <w:szCs w:val="32"/>
          <w:lang w:val="en-US" w:eastAsia="zh-CN" w:bidi="ar-SA"/>
        </w:rPr>
        <w:t>家经营零售单位。</w:t>
      </w:r>
    </w:p>
    <w:p>
      <w:pPr>
        <w:pStyle w:val="6"/>
        <w:keepNext w:val="0"/>
        <w:keepLines w:val="0"/>
        <w:pageBreakBefore w:val="0"/>
        <w:kinsoku/>
        <w:wordWrap/>
        <w:overflowPunct/>
        <w:topLinePunct w:val="0"/>
        <w:autoSpaceDE w:val="0"/>
        <w:autoSpaceDN w:val="0"/>
        <w:bidi w:val="0"/>
        <w:spacing w:before="0" w:line="560" w:lineRule="exact"/>
        <w:rPr>
          <w:rFonts w:hint="default" w:ascii="Times New Roman" w:hAnsi="Times New Roman" w:cs="Times New Roman"/>
          <w:lang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3883"/>
        <w:gridCol w:w="3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top"/>
              <w:rPr>
                <w:rFonts w:hint="default" w:ascii="Times New Roman" w:hAnsi="Times New Roman" w:eastAsia="仿宋_GB2312" w:cs="Times New Roman"/>
                <w:sz w:val="32"/>
                <w:szCs w:val="32"/>
                <w:vertAlign w:val="baseline"/>
              </w:rPr>
            </w:pPr>
            <w:r>
              <w:rPr>
                <w:rFonts w:hint="default" w:ascii="Times New Roman" w:hAnsi="Times New Roman" w:eastAsia="黑体" w:cs="Times New Roman"/>
                <w:i w:val="0"/>
                <w:iCs w:val="0"/>
                <w:color w:val="000000"/>
                <w:kern w:val="0"/>
                <w:sz w:val="24"/>
                <w:szCs w:val="24"/>
                <w:u w:val="none"/>
                <w:lang w:val="en-US" w:eastAsia="zh-CN" w:bidi="ar"/>
              </w:rPr>
              <w:t>序号</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top"/>
              <w:rPr>
                <w:rFonts w:hint="default" w:ascii="Times New Roman" w:hAnsi="Times New Roman" w:eastAsia="仿宋_GB2312" w:cs="Times New Roman"/>
                <w:sz w:val="32"/>
                <w:szCs w:val="32"/>
                <w:vertAlign w:val="baseline"/>
              </w:rPr>
            </w:pPr>
            <w:r>
              <w:rPr>
                <w:rFonts w:hint="default" w:ascii="Times New Roman" w:hAnsi="Times New Roman" w:eastAsia="黑体" w:cs="Times New Roman"/>
                <w:i w:val="0"/>
                <w:iCs w:val="0"/>
                <w:color w:val="000000"/>
                <w:kern w:val="0"/>
                <w:sz w:val="24"/>
                <w:szCs w:val="24"/>
                <w:u w:val="none"/>
                <w:lang w:val="en-US" w:eastAsia="zh-CN" w:bidi="ar"/>
              </w:rPr>
              <w:t>检查单位</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top"/>
              <w:rPr>
                <w:rFonts w:hint="default" w:ascii="Times New Roman" w:hAnsi="Times New Roman" w:eastAsia="仿宋_GB2312" w:cs="Times New Roman"/>
                <w:sz w:val="32"/>
                <w:szCs w:val="32"/>
                <w:vertAlign w:val="baseline"/>
              </w:rPr>
            </w:pPr>
            <w:r>
              <w:rPr>
                <w:rFonts w:hint="default" w:ascii="Times New Roman" w:hAnsi="Times New Roman" w:eastAsia="黑体" w:cs="Times New Roman"/>
                <w:i w:val="0"/>
                <w:iCs w:val="0"/>
                <w:color w:val="000000"/>
                <w:kern w:val="0"/>
                <w:sz w:val="24"/>
                <w:szCs w:val="24"/>
                <w:u w:val="none"/>
                <w:lang w:val="en-US" w:eastAsia="zh-CN" w:bidi="ar"/>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sz w:val="32"/>
                <w:szCs w:val="32"/>
                <w:vertAlign w:val="baseli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宁乡夏银香烟花爆竹经营部</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金洲镇关山社区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sz w:val="32"/>
                <w:szCs w:val="32"/>
                <w:vertAlign w:val="baseli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eastAsia" w:ascii="Times New Roman" w:hAnsi="Times New Roman" w:eastAsia="仿宋_GB2312" w:cs="Times New Roman"/>
                <w:i w:val="0"/>
                <w:iCs w:val="0"/>
                <w:color w:val="000000"/>
                <w:kern w:val="0"/>
                <w:sz w:val="28"/>
                <w:szCs w:val="28"/>
                <w:u w:val="none"/>
                <w:lang w:val="en-US" w:eastAsia="zh-CN" w:bidi="ar"/>
              </w:rPr>
              <w:t>宁乡市熊跃华烟花鞭炮经营部</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金洲镇</w:t>
            </w:r>
            <w:r>
              <w:rPr>
                <w:rFonts w:hint="eastAsia" w:ascii="Times New Roman" w:hAnsi="Times New Roman" w:eastAsia="仿宋_GB2312" w:cs="Times New Roman"/>
                <w:i w:val="0"/>
                <w:iCs w:val="0"/>
                <w:color w:val="000000"/>
                <w:kern w:val="0"/>
                <w:sz w:val="28"/>
                <w:szCs w:val="28"/>
                <w:u w:val="none"/>
                <w:lang w:val="en-US" w:eastAsia="zh-CN" w:bidi="ar"/>
              </w:rPr>
              <w:t>关山社区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sz w:val="32"/>
                <w:szCs w:val="32"/>
                <w:vertAlign w:val="baseli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宁乡黄秀林烟花爆竹经营部</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eastAsia" w:ascii="Times New Roman" w:hAnsi="Times New Roman" w:eastAsia="仿宋_GB2312" w:cs="Times New Roman"/>
                <w:i w:val="0"/>
                <w:iCs w:val="0"/>
                <w:color w:val="000000"/>
                <w:kern w:val="0"/>
                <w:sz w:val="28"/>
                <w:szCs w:val="28"/>
                <w:u w:val="none"/>
                <w:lang w:val="en-US" w:eastAsia="zh-CN" w:bidi="ar"/>
              </w:rPr>
              <w:t>金洲镇颜塘村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sz w:val="32"/>
                <w:szCs w:val="32"/>
                <w:vertAlign w:val="baseli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宁乡黄尚辉烟花爆竹店</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金洲镇全民社区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sz w:val="32"/>
                <w:szCs w:val="32"/>
                <w:vertAlign w:val="baseli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宁乡</w:t>
            </w:r>
            <w:r>
              <w:rPr>
                <w:rFonts w:hint="eastAsia" w:ascii="Times New Roman" w:hAnsi="Times New Roman" w:eastAsia="仿宋_GB2312" w:cs="Times New Roman"/>
                <w:i w:val="0"/>
                <w:iCs w:val="0"/>
                <w:color w:val="000000"/>
                <w:kern w:val="0"/>
                <w:sz w:val="28"/>
                <w:szCs w:val="28"/>
                <w:u w:val="none"/>
                <w:lang w:val="en-US" w:eastAsia="zh-CN" w:bidi="ar"/>
              </w:rPr>
              <w:t>雪儿</w:t>
            </w:r>
            <w:r>
              <w:rPr>
                <w:rFonts w:hint="default" w:ascii="Times New Roman" w:hAnsi="Times New Roman" w:eastAsia="仿宋_GB2312" w:cs="Times New Roman"/>
                <w:i w:val="0"/>
                <w:iCs w:val="0"/>
                <w:color w:val="000000"/>
                <w:kern w:val="0"/>
                <w:sz w:val="28"/>
                <w:szCs w:val="28"/>
                <w:u w:val="none"/>
                <w:lang w:val="en-US" w:eastAsia="zh-CN" w:bidi="ar"/>
              </w:rPr>
              <w:t>烟花爆竹店</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金洲镇</w:t>
            </w:r>
            <w:r>
              <w:rPr>
                <w:rFonts w:hint="eastAsia" w:ascii="Times New Roman" w:hAnsi="Times New Roman" w:eastAsia="仿宋_GB2312" w:cs="Times New Roman"/>
                <w:i w:val="0"/>
                <w:iCs w:val="0"/>
                <w:color w:val="000000"/>
                <w:kern w:val="0"/>
                <w:sz w:val="28"/>
                <w:szCs w:val="28"/>
                <w:u w:val="none"/>
                <w:lang w:val="en-US" w:eastAsia="zh-CN" w:bidi="ar"/>
              </w:rPr>
              <w:t>箭楼村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0"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6</w:t>
            </w:r>
          </w:p>
        </w:tc>
        <w:tc>
          <w:tcPr>
            <w:tcW w:w="3883"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eastAsia" w:ascii="Times New Roman" w:hAnsi="Times New Roman" w:eastAsia="仿宋_GB2312" w:cs="Times New Roman"/>
                <w:i w:val="0"/>
                <w:iCs w:val="0"/>
                <w:color w:val="000000"/>
                <w:kern w:val="0"/>
                <w:sz w:val="28"/>
                <w:szCs w:val="28"/>
                <w:u w:val="none"/>
                <w:lang w:val="en-US" w:eastAsia="zh-CN" w:bidi="ar"/>
              </w:rPr>
              <w:t>宁乡罗一嗲烟花爆竹经营部</w:t>
            </w:r>
          </w:p>
        </w:tc>
        <w:tc>
          <w:tcPr>
            <w:tcW w:w="3002" w:type="dxa"/>
            <w:vAlign w:val="center"/>
          </w:tcPr>
          <w:p>
            <w:pPr>
              <w:keepNext w:val="0"/>
              <w:keepLines w:val="0"/>
              <w:pageBreakBefore w:val="0"/>
              <w:widowControl/>
              <w:suppressLineNumbers w:val="0"/>
              <w:kinsoku/>
              <w:wordWrap/>
              <w:overflowPunct/>
              <w:topLinePunct w:val="0"/>
              <w:autoSpaceDE w:val="0"/>
              <w:autoSpaceDN w:val="0"/>
              <w:bidi w:val="0"/>
              <w:adjustRightInd/>
              <w:snapToGrid/>
              <w:spacing w:before="0" w:line="560" w:lineRule="exact"/>
              <w:ind w:left="0" w:leftChars="0" w:right="0" w:rightChars="0"/>
              <w:jc w:val="center"/>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eastAsia" w:ascii="Times New Roman" w:hAnsi="Times New Roman" w:eastAsia="仿宋_GB2312" w:cs="Times New Roman"/>
                <w:i w:val="0"/>
                <w:iCs w:val="0"/>
                <w:color w:val="000000"/>
                <w:kern w:val="0"/>
                <w:sz w:val="28"/>
                <w:szCs w:val="28"/>
                <w:u w:val="none"/>
                <w:lang w:val="en-US" w:eastAsia="zh-CN" w:bidi="ar"/>
              </w:rPr>
              <w:t>金洲镇箭楼村</w:t>
            </w:r>
          </w:p>
        </w:tc>
      </w:tr>
    </w:tbl>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firstLine="960" w:firstLineChars="300"/>
        <w:textAlignment w:val="auto"/>
        <w:rPr>
          <w:rFonts w:hint="default" w:ascii="Times New Roman" w:hAnsi="Times New Roman" w:eastAsia="黑体" w:cs="Times New Roman"/>
          <w:b w:val="0"/>
          <w:bCs w:val="0"/>
          <w:kern w:val="0"/>
          <w:sz w:val="32"/>
          <w:szCs w:val="32"/>
          <w:lang w:val="en-US" w:eastAsia="zh-CN" w:bidi="ar-SA"/>
        </w:rPr>
      </w:pPr>
      <w:r>
        <w:rPr>
          <w:rFonts w:hint="eastAsia" w:ascii="Times New Roman" w:hAnsi="Times New Roman" w:eastAsia="黑体" w:cs="Times New Roman"/>
          <w:b w:val="0"/>
          <w:bCs w:val="0"/>
          <w:kern w:val="0"/>
          <w:sz w:val="32"/>
          <w:szCs w:val="32"/>
          <w:lang w:val="en-US" w:eastAsia="zh-CN" w:bidi="ar-SA"/>
        </w:rPr>
        <w:t>四</w:t>
      </w:r>
      <w:r>
        <w:rPr>
          <w:rFonts w:hint="default" w:ascii="Times New Roman" w:hAnsi="Times New Roman" w:eastAsia="黑体" w:cs="Times New Roman"/>
          <w:b w:val="0"/>
          <w:bCs w:val="0"/>
          <w:kern w:val="0"/>
          <w:sz w:val="32"/>
          <w:szCs w:val="32"/>
          <w:lang w:val="en-US" w:eastAsia="zh-CN" w:bidi="ar-SA"/>
        </w:rPr>
        <w:t>、执法检查内容</w:t>
      </w:r>
    </w:p>
    <w:p>
      <w:pPr>
        <w:pStyle w:val="7"/>
        <w:spacing w:before="3" w:line="600" w:lineRule="exact"/>
        <w:ind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对经营单位是否具备有关法律、法规、规章和国家标准或者行业标准规定的安全生产条件进行监督检查，重点检查以下内容：</w:t>
      </w:r>
    </w:p>
    <w:p>
      <w:pPr>
        <w:pStyle w:val="7"/>
        <w:numPr>
          <w:ilvl w:val="0"/>
          <w:numId w:val="1"/>
        </w:numPr>
        <w:spacing w:before="4" w:line="600" w:lineRule="exact"/>
        <w:ind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依法取得有关安全生产行政许可的情况及《烟花爆竹经营（零售）许可证》是否悬挂在醒目位置。</w:t>
      </w:r>
    </w:p>
    <w:p>
      <w:pPr>
        <w:pStyle w:val="7"/>
        <w:spacing w:before="4" w:line="600" w:lineRule="exact"/>
        <w:ind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（二）建立和落实安全生产责任制、安全生产规章制度和操作规程、作业规程的情况；</w:t>
      </w:r>
    </w:p>
    <w:p>
      <w:pPr>
        <w:pStyle w:val="7"/>
        <w:spacing w:before="3"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（三）零售场所的安全距离是否符合</w:t>
      </w:r>
      <w:r>
        <w:rPr>
          <w:rFonts w:hint="default" w:ascii="Times New Roman" w:hAnsi="Times New Roman" w:eastAsia="仿宋_GB2312" w:cs="Times New Roman"/>
          <w:sz w:val="32"/>
          <w:szCs w:val="32"/>
          <w:lang w:val="en-US" w:eastAsia="zh-CN" w:bidi="ar-SA"/>
        </w:rPr>
        <w:t>AQ4128</w:t>
      </w:r>
      <w:r>
        <w:rPr>
          <w:rFonts w:hint="eastAsia" w:ascii="Times New Roman" w:hAnsi="Times New Roman" w:eastAsia="仿宋_GB2312" w:cs="Times New Roman"/>
          <w:sz w:val="32"/>
          <w:szCs w:val="32"/>
          <w:lang w:val="en-US" w:eastAsia="zh-CN" w:bidi="ar-SA"/>
        </w:rPr>
        <w:t>规定；</w:t>
      </w:r>
    </w:p>
    <w:p>
      <w:pPr>
        <w:pStyle w:val="7"/>
        <w:spacing w:before="3"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（四）是否与居民居住场所在同一建筑物内，存在“前店后宅、下店上宅”等问题；</w:t>
      </w:r>
    </w:p>
    <w:p>
      <w:pPr>
        <w:pStyle w:val="7"/>
        <w:spacing w:before="2"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（五）从业人员受到安全生产教育、培训，取得有关安全资格证书的情况；</w:t>
      </w:r>
    </w:p>
    <w:p>
      <w:pPr>
        <w:pStyle w:val="7"/>
        <w:spacing w:before="4"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（六）零售场所是否张贴有明显的安全警示标志的情况；</w:t>
      </w:r>
    </w:p>
    <w:p>
      <w:pPr>
        <w:pStyle w:val="7"/>
        <w:spacing w:before="4"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（七）存放产品数量是否超过许可证载明限量，产品堆放是否整齐、稳定；是否在许可证载明的区域外储存烟花爆竹产品。</w:t>
      </w:r>
    </w:p>
    <w:p>
      <w:pPr>
        <w:pStyle w:val="7"/>
        <w:spacing w:before="4"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（八）销售产品的外包装箱上是否粘贴流向等级标识码；</w:t>
      </w:r>
    </w:p>
    <w:p>
      <w:pPr>
        <w:pStyle w:val="7"/>
        <w:spacing w:before="3" w:line="600" w:lineRule="exact"/>
        <w:ind w:right="278" w:firstLine="640" w:firstLineChars="200"/>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（九）组织安全生产检查，及时排查治理生产安全事故隐患的情况；</w:t>
      </w:r>
    </w:p>
    <w:p>
      <w:pPr>
        <w:pStyle w:val="7"/>
        <w:spacing w:before="2" w:line="600" w:lineRule="exact"/>
        <w:ind w:right="278" w:firstLine="640" w:firstLineChars="200"/>
        <w:jc w:val="both"/>
        <w:rPr>
          <w:rFonts w:hint="default"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（十）应急救援器材、设备的配备、维护、保养的情况；</w:t>
      </w:r>
    </w:p>
    <w:p>
      <w:pPr>
        <w:pStyle w:val="7"/>
        <w:spacing w:before="2" w:line="600" w:lineRule="exact"/>
        <w:ind w:right="278" w:firstLine="640" w:firstLineChars="200"/>
        <w:jc w:val="both"/>
        <w:rPr>
          <w:rFonts w:hint="eastAsia"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（十一）是否销售超标违禁、假冒伪劣、非法生产、专业燃放类烟花爆竹。</w:t>
      </w:r>
    </w:p>
    <w:p>
      <w:pPr>
        <w:pStyle w:val="7"/>
        <w:spacing w:before="2" w:line="600" w:lineRule="exact"/>
        <w:ind w:right="278" w:firstLine="640" w:firstLineChars="200"/>
        <w:jc w:val="both"/>
        <w:rPr>
          <w:rFonts w:hint="eastAsia" w:ascii="Times New Roman" w:hAnsi="Times New Roman" w:eastAsia="仿宋_GB2312" w:cs="Times New Roman"/>
          <w:sz w:val="32"/>
          <w:szCs w:val="32"/>
          <w:lang w:val="en-US" w:eastAsia="zh-CN" w:bidi="ar-SA"/>
        </w:rPr>
      </w:pPr>
      <w:r>
        <w:rPr>
          <w:rFonts w:hint="eastAsia" w:ascii="Times New Roman" w:hAnsi="Times New Roman" w:eastAsia="仿宋_GB2312" w:cs="Times New Roman"/>
          <w:sz w:val="32"/>
          <w:szCs w:val="32"/>
          <w:lang w:val="en-US" w:eastAsia="zh-CN" w:bidi="ar-SA"/>
        </w:rPr>
        <w:t>（十二）依法应当监督检查的其他情况。</w:t>
      </w:r>
    </w:p>
    <w:p>
      <w:pPr>
        <w:pStyle w:val="7"/>
        <w:spacing w:before="2" w:line="600" w:lineRule="exact"/>
        <w:ind w:right="278" w:firstLine="640" w:firstLineChars="200"/>
        <w:jc w:val="both"/>
        <w:rPr>
          <w:rFonts w:hint="default" w:ascii="Times New Roman" w:hAnsi="Times New Roman" w:eastAsia="仿宋_GB2312" w:cs="Times New Roman"/>
          <w:sz w:val="32"/>
          <w:szCs w:val="32"/>
          <w:lang w:val="en-US" w:eastAsia="zh-CN" w:bidi="ar-SA"/>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textAlignment w:val="auto"/>
        <w:rPr>
          <w:rFonts w:hint="default" w:ascii="Times New Roman" w:hAnsi="Times New Roman" w:eastAsia="黑体" w:cs="Times New Roman"/>
          <w:spacing w:val="-12"/>
          <w:w w:val="95"/>
        </w:rPr>
      </w:pP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仿宋_GB2312" w:cs="Times New Roman"/>
          <w:b w:val="0"/>
          <w:bCs w:val="0"/>
          <w:sz w:val="32"/>
          <w:szCs w:val="32"/>
          <w:lang w:val="en-US" w:eastAsia="zh-CN" w:bidi="ar-SA"/>
        </w:rPr>
        <w:t>全生产知识和管理能力考核合格；特种作业人员是否按照国家有关规定经专门的安全作业培训并取得相应资格；企业是否按 要求对从业人员、派遣劳动者、实习人员等进行安全生产教育 和培训。</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（五）现场作业安全管理落实情况的执法检查。</w:t>
      </w:r>
      <w:r>
        <w:rPr>
          <w:rFonts w:hint="default" w:ascii="Times New Roman" w:hAnsi="Times New Roman" w:eastAsia="仿宋_GB2312" w:cs="Times New Roman"/>
          <w:b w:val="0"/>
          <w:bCs w:val="0"/>
          <w:sz w:val="32"/>
          <w:szCs w:val="32"/>
          <w:lang w:val="en-US" w:eastAsia="zh-CN" w:bidi="ar-SA"/>
        </w:rPr>
        <w:t>抽查企业现场，企业是否存在严禁违章指挥、强令职工冒险作业现象；是否在有较大危险因素的生产经营场所和有关设施、设备上，设置明显的安全警示标志；从事涉爆粉尘、有限空间、爆破、吊装及国家有关规定明确的危险作业时，是否安排专门人员进行现场安全管理；企业是否将外包项目的安全生产统一协调、管理；是否为从业人员提供符合国家标准或者行业标准的劳动防护用品。</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textAlignment w:val="auto"/>
        <w:rPr>
          <w:rFonts w:hint="default" w:ascii="Times New Roman" w:hAnsi="Times New Roman" w:eastAsia="仿宋_GB2312" w:cs="Times New Roman"/>
          <w:b w:val="0"/>
          <w:bCs w:val="0"/>
          <w:sz w:val="32"/>
          <w:szCs w:val="32"/>
          <w:lang w:val="en-US" w:eastAsia="zh-CN" w:bidi="ar-SA"/>
        </w:rPr>
      </w:pPr>
      <w:r>
        <w:rPr>
          <w:rFonts w:hint="default" w:ascii="Times New Roman" w:hAnsi="Times New Roman" w:eastAsia="楷体_GB2312" w:cs="Times New Roman"/>
          <w:b/>
          <w:bCs/>
          <w:sz w:val="32"/>
          <w:szCs w:val="32"/>
          <w:lang w:val="en-US" w:eastAsia="zh-CN" w:bidi="ar-SA"/>
        </w:rPr>
        <w:t>（六）安全生产应急管理落实情况的监督检查。</w:t>
      </w:r>
      <w:r>
        <w:rPr>
          <w:rFonts w:hint="default" w:ascii="Times New Roman" w:hAnsi="Times New Roman" w:eastAsia="仿宋_GB2312" w:cs="Times New Roman"/>
          <w:b w:val="0"/>
          <w:bCs w:val="0"/>
          <w:sz w:val="32"/>
          <w:szCs w:val="32"/>
          <w:lang w:val="en-US" w:eastAsia="zh-CN" w:bidi="ar-SA"/>
        </w:rPr>
        <w:t>是否组织制定并实施本单位事故应急预案，是否定期组织应急预案培训演练，是否配备并定期维护应急救援物资和设备。</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val="en-US" w:eastAsia="zh-CN" w:bidi="ar-SA"/>
        </w:rPr>
        <w:t>（七）专项整治落实情况的执法检查。</w:t>
      </w:r>
      <w:r>
        <w:rPr>
          <w:rFonts w:hint="default" w:ascii="Times New Roman" w:hAnsi="Times New Roman" w:eastAsia="仿宋_GB2312" w:cs="Times New Roman"/>
          <w:b w:val="0"/>
          <w:bCs w:val="0"/>
          <w:sz w:val="32"/>
          <w:szCs w:val="32"/>
          <w:lang w:val="en-US" w:eastAsia="zh-CN" w:bidi="ar-SA"/>
        </w:rPr>
        <w:t>抽查企业有限空间作业、粉尘防爆和涉氨制冷等是否落实专项治理相关措施。</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60" w:firstLineChars="200"/>
        <w:textAlignment w:val="auto"/>
        <w:rPr>
          <w:rFonts w:hint="default" w:ascii="Times New Roman" w:hAnsi="Times New Roman" w:cs="Times New Roman"/>
          <w:sz w:val="20"/>
        </w:rPr>
      </w:pPr>
      <w:r>
        <w:rPr>
          <w:rFonts w:hint="default" w:ascii="Times New Roman" w:hAnsi="Times New Roman" w:eastAsia="黑体" w:cs="Times New Roman"/>
          <w:spacing w:val="-12"/>
          <w:w w:val="95"/>
          <w:sz w:val="32"/>
          <w:szCs w:val="32"/>
        </w:rPr>
        <w:t>四、监督执法对象</w:t>
      </w:r>
    </w:p>
    <w:p>
      <w:pPr>
        <w:pStyle w:val="7"/>
        <w:spacing w:before="10"/>
        <w:ind w:left="0"/>
        <w:rPr>
          <w:rFonts w:hint="default" w:ascii="Times New Roman" w:hAnsi="Times New Roman" w:cs="Times New Roman"/>
          <w:sz w:val="18"/>
        </w:rPr>
      </w:pPr>
    </w:p>
    <w:tbl>
      <w:tblPr>
        <w:tblStyle w:val="11"/>
        <w:tblW w:w="0" w:type="auto"/>
        <w:tblInd w:w="1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8"/>
        <w:gridCol w:w="4702"/>
        <w:gridCol w:w="2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Microsoft JhengHei" w:cs="Times New Roman"/>
                <w:b/>
                <w:sz w:val="24"/>
              </w:rPr>
            </w:pPr>
            <w:r>
              <w:rPr>
                <w:rFonts w:hint="default" w:ascii="Times New Roman" w:hAnsi="Times New Roman" w:eastAsia="Microsoft JhengHei" w:cs="Times New Roman"/>
                <w:b/>
                <w:sz w:val="24"/>
              </w:rPr>
              <w:t>序号</w:t>
            </w:r>
          </w:p>
        </w:tc>
        <w:tc>
          <w:tcPr>
            <w:tcW w:w="4702"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Microsoft JhengHei" w:cs="Times New Roman"/>
                <w:b/>
                <w:sz w:val="24"/>
              </w:rPr>
            </w:pPr>
            <w:r>
              <w:rPr>
                <w:rFonts w:hint="default" w:ascii="Times New Roman" w:hAnsi="Times New Roman" w:eastAsia="Microsoft JhengHei" w:cs="Times New Roman"/>
                <w:b/>
                <w:sz w:val="24"/>
              </w:rPr>
              <w:t>企业名称</w:t>
            </w:r>
          </w:p>
        </w:tc>
        <w:tc>
          <w:tcPr>
            <w:tcW w:w="2768" w:type="dxa"/>
            <w:vAlign w:val="center"/>
          </w:tcPr>
          <w:p>
            <w:pPr>
              <w:pStyle w:val="17"/>
              <w:keepNext w:val="0"/>
              <w:keepLines w:val="0"/>
              <w:pageBreakBefore w:val="0"/>
              <w:widowControl w:val="0"/>
              <w:tabs>
                <w:tab w:val="left" w:pos="488"/>
              </w:tabs>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宋体" w:cs="Times New Roman"/>
                <w:b/>
                <w:sz w:val="24"/>
                <w:lang w:eastAsia="zh-CN"/>
              </w:rPr>
            </w:pPr>
            <w:r>
              <w:rPr>
                <w:rFonts w:hint="default" w:ascii="Times New Roman" w:hAnsi="Times New Roman" w:cs="Times New Roman"/>
                <w:b/>
                <w:sz w:val="24"/>
                <w:lang w:eastAsia="zh-CN"/>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524" w:rightChars="-238"/>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湖南格瑞科技有限公司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金洲镇全民社区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2</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w:t>
            </w:r>
            <w:r>
              <w:rPr>
                <w:rFonts w:hint="eastAsia" w:ascii="Times New Roman" w:hAnsi="Times New Roman" w:eastAsia="仿宋_GB2312" w:cs="Times New Roman"/>
                <w:kern w:val="0"/>
                <w:sz w:val="30"/>
                <w:szCs w:val="30"/>
                <w:lang w:eastAsia="zh-CN"/>
              </w:rPr>
              <w:t>中坦纺织品</w:t>
            </w:r>
            <w:r>
              <w:rPr>
                <w:rFonts w:hint="default" w:ascii="Times New Roman" w:hAnsi="Times New Roman" w:eastAsia="仿宋_GB2312" w:cs="Times New Roman"/>
                <w:kern w:val="0"/>
                <w:sz w:val="30"/>
                <w:szCs w:val="30"/>
              </w:rPr>
              <w:t>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3</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湖南关山美印有限公司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4</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湖南喜云祥食品有限公司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5</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长沙白沙酒业有限责任</w:t>
            </w:r>
            <w:r>
              <w:rPr>
                <w:rFonts w:hint="default" w:ascii="Times New Roman" w:hAnsi="Times New Roman" w:eastAsia="仿宋_GB2312" w:cs="Times New Roman"/>
                <w:kern w:val="0"/>
                <w:sz w:val="30"/>
                <w:szCs w:val="30"/>
                <w:lang w:eastAsia="zh-CN"/>
              </w:rPr>
              <w:t>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6</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kern w:val="0"/>
                <w:sz w:val="30"/>
                <w:szCs w:val="30"/>
              </w:rPr>
              <w:t>长沙市望城区杰维管道有限公司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金洲镇关山社区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7</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湖南奥吉电气设备有限公司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8</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rPr>
              <w:t>长沙天玺胶粘制品有限公司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w:t>
            </w:r>
            <w:r>
              <w:rPr>
                <w:rFonts w:hint="eastAsia" w:ascii="Times New Roman" w:hAnsi="Times New Roman" w:eastAsia="仿宋_GB2312" w:cs="Times New Roman"/>
                <w:sz w:val="30"/>
                <w:szCs w:val="30"/>
                <w:lang w:eastAsia="zh-CN"/>
              </w:rPr>
              <w:t>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9</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lang w:eastAsia="zh-CN"/>
              </w:rPr>
              <w:t>四小碟食品厂</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金洲镇箭楼村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10</w:t>
            </w:r>
          </w:p>
        </w:tc>
        <w:tc>
          <w:tcPr>
            <w:tcW w:w="4702" w:type="dxa"/>
            <w:shd w:val="clear" w:color="auto" w:fill="auto"/>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kern w:val="0"/>
                <w:sz w:val="30"/>
                <w:szCs w:val="30"/>
                <w:lang w:val="en-US" w:eastAsia="zh-CN" w:bidi="ar-SA"/>
              </w:rPr>
            </w:pPr>
            <w:r>
              <w:rPr>
                <w:rFonts w:hint="eastAsia" w:ascii="Times New Roman" w:hAnsi="Times New Roman" w:eastAsia="仿宋_GB2312" w:cs="Times New Roman"/>
                <w:kern w:val="0"/>
                <w:sz w:val="30"/>
                <w:szCs w:val="30"/>
                <w:lang w:eastAsia="zh-CN"/>
              </w:rPr>
              <w:t>湖南恩博莱节能门窗有限公司</w:t>
            </w:r>
          </w:p>
        </w:tc>
        <w:tc>
          <w:tcPr>
            <w:tcW w:w="2768" w:type="dxa"/>
            <w:shd w:val="clear" w:color="auto" w:fill="auto"/>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lang w:val="en-US" w:eastAsia="zh-CN" w:bidi="ar-SA"/>
              </w:rPr>
            </w:pPr>
            <w:r>
              <w:rPr>
                <w:rFonts w:hint="eastAsia" w:ascii="Times New Roman" w:hAnsi="Times New Roman" w:eastAsia="仿宋_GB2312" w:cs="Times New Roman"/>
                <w:sz w:val="30"/>
                <w:szCs w:val="30"/>
                <w:lang w:eastAsia="zh-CN"/>
              </w:rPr>
              <w:t>金洲镇颜塘村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02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right="0"/>
              <w:jc w:val="center"/>
              <w:textAlignment w:val="auto"/>
              <w:rPr>
                <w:rFonts w:hint="default" w:ascii="Times New Roman" w:hAnsi="Times New Roman" w:eastAsia="仿宋_GB2312" w:cs="Times New Roman"/>
                <w:sz w:val="30"/>
                <w:szCs w:val="30"/>
                <w:lang w:val="en-US" w:eastAsia="zh-CN"/>
              </w:rPr>
            </w:pPr>
            <w:r>
              <w:rPr>
                <w:rFonts w:hint="default" w:ascii="Times New Roman" w:hAnsi="Times New Roman" w:eastAsia="仿宋_GB2312" w:cs="Times New Roman"/>
                <w:sz w:val="30"/>
                <w:szCs w:val="30"/>
                <w:lang w:val="en-US" w:eastAsia="zh-CN"/>
              </w:rPr>
              <w:t>11</w:t>
            </w:r>
          </w:p>
        </w:tc>
        <w:tc>
          <w:tcPr>
            <w:tcW w:w="4702" w:type="dxa"/>
            <w:vAlign w:val="center"/>
          </w:tcPr>
          <w:p>
            <w:pPr>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kern w:val="0"/>
                <w:sz w:val="30"/>
                <w:szCs w:val="30"/>
                <w:lang w:eastAsia="zh-CN"/>
              </w:rPr>
              <w:t>长沙开扬润滑油有限公司</w:t>
            </w:r>
          </w:p>
        </w:tc>
        <w:tc>
          <w:tcPr>
            <w:tcW w:w="2768" w:type="dxa"/>
            <w:vAlign w:val="center"/>
          </w:tcPr>
          <w:p>
            <w:pPr>
              <w:pStyle w:val="17"/>
              <w:keepNext w:val="0"/>
              <w:keepLines w:val="0"/>
              <w:pageBreakBefore w:val="0"/>
              <w:widowControl w:val="0"/>
              <w:kinsoku/>
              <w:wordWrap/>
              <w:overflowPunct/>
              <w:topLinePunct w:val="0"/>
              <w:autoSpaceDE w:val="0"/>
              <w:autoSpaceDN w:val="0"/>
              <w:bidi w:val="0"/>
              <w:adjustRightInd/>
              <w:snapToGrid/>
              <w:spacing w:before="0" w:line="400" w:lineRule="exact"/>
              <w:ind w:left="0" w:leftChars="0" w:right="0" w:rightChars="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金洲镇全民社区</w:t>
            </w:r>
          </w:p>
        </w:tc>
      </w:tr>
    </w:tbl>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4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p>
    <w:p>
      <w:pPr>
        <w:pStyle w:val="7"/>
        <w:keepNext w:val="0"/>
        <w:keepLines w:val="0"/>
        <w:pageBreakBefore w:val="0"/>
        <w:widowControl w:val="0"/>
        <w:kinsoku/>
        <w:wordWrap/>
        <w:overflowPunct/>
        <w:topLinePunct w:val="0"/>
        <w:autoSpaceDE w:val="0"/>
        <w:autoSpaceDN w:val="0"/>
        <w:bidi w:val="0"/>
        <w:adjustRightInd/>
        <w:snapToGrid/>
        <w:spacing w:before="0" w:line="600" w:lineRule="exact"/>
        <w:ind w:left="0" w:leftChars="0" w:right="0" w:firstLine="0" w:firstLineChars="0"/>
        <w:jc w:val="left"/>
        <w:textAlignment w:val="auto"/>
        <w:rPr>
          <w:rFonts w:hint="eastAsia" w:ascii="Times New Roman" w:hAnsi="Times New Roman" w:cs="Times New Roman"/>
          <w:lang w:val="en-US" w:eastAsia="zh-CN"/>
        </w:rPr>
      </w:pPr>
      <w:bookmarkStart w:id="0" w:name="_GoBack"/>
      <w:bookmarkEnd w:id="0"/>
    </w:p>
    <w:sectPr>
      <w:footerReference r:id="rId5" w:type="default"/>
      <w:footerReference r:id="rId6" w:type="even"/>
      <w:pgSz w:w="11850" w:h="16790"/>
      <w:pgMar w:top="2098" w:right="1474" w:bottom="1984" w:left="1587" w:header="0" w:footer="990" w:gutter="0"/>
      <w:pgNumType w:fmt="decimal"/>
      <w:cols w:space="72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Microsoft JhengHei">
    <w:altName w:val="宋体"/>
    <w:panose1 w:val="020B0604030504040204"/>
    <w:charset w:val="88"/>
    <w:family w:val="swiss"/>
    <w:pitch w:val="default"/>
    <w:sig w:usb0="00000000" w:usb1="00000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5748020</wp:posOffset>
              </wp:positionH>
              <wp:positionV relativeFrom="page">
                <wp:posOffset>9886950</wp:posOffset>
              </wp:positionV>
              <wp:extent cx="685800" cy="224790"/>
              <wp:effectExtent l="0" t="0" r="0" b="0"/>
              <wp:wrapNone/>
              <wp:docPr id="13" name="文本框 4"/>
              <wp:cNvGraphicFramePr/>
              <a:graphic xmlns:a="http://schemas.openxmlformats.org/drawingml/2006/main">
                <a:graphicData uri="http://schemas.microsoft.com/office/word/2010/wordprocessingShape">
                  <wps:wsp>
                    <wps:cNvSpPr txBox="1"/>
                    <wps:spPr>
                      <a:xfrm>
                        <a:off x="0" y="0"/>
                        <a:ext cx="68580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4" o:spid="_x0000_s1026" o:spt="202" type="#_x0000_t202" style="position:absolute;left:0pt;margin-left:452.6pt;margin-top:778.5pt;height:17.7pt;width:54pt;mso-position-horizontal-relative:page;mso-position-vertical-relative:page;z-index:-251656192;mso-width-relative:page;mso-height-relative:page;" filled="f" stroked="f" coordsize="21600,21600" o:gfxdata="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3"/>
                        <w:sz w:val="28"/>
                      </w:rPr>
                      <w:t xml:space="preserve"> </w:t>
                    </w:r>
                    <w:r>
                      <w:fldChar w:fldCharType="begin"/>
                    </w:r>
                    <w:r>
                      <w:rPr>
                        <w:rFonts w:ascii="Times New Roman" w:hAnsi="Times New Roman"/>
                        <w:sz w:val="28"/>
                      </w:rPr>
                      <w:instrText xml:space="preserve"> PAGE </w:instrText>
                    </w:r>
                    <w:r>
                      <w:fldChar w:fldCharType="separate"/>
                    </w:r>
                    <w:r>
                      <w:t>13</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mc:AlternateContent>
        <mc:Choice Requires="wps">
          <w:drawing>
            <wp:anchor distT="0" distB="0" distL="114300" distR="114300" simplePos="0" relativeHeight="251659264" behindDoc="1" locked="0" layoutInCell="1" allowOverlap="1">
              <wp:simplePos x="0" y="0"/>
              <wp:positionH relativeFrom="page">
                <wp:posOffset>959485</wp:posOffset>
              </wp:positionH>
              <wp:positionV relativeFrom="page">
                <wp:posOffset>9886950</wp:posOffset>
              </wp:positionV>
              <wp:extent cx="687070" cy="22479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687070" cy="224790"/>
                      </a:xfrm>
                      <a:prstGeom prst="rect">
                        <a:avLst/>
                      </a:prstGeom>
                      <a:noFill/>
                      <a:ln>
                        <a:noFill/>
                      </a:ln>
                    </wps:spPr>
                    <wps:txbx>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wps:txbx>
                    <wps:bodyPr lIns="0" tIns="0" rIns="0" bIns="0" upright="1"/>
                  </wps:wsp>
                </a:graphicData>
              </a:graphic>
            </wp:anchor>
          </w:drawing>
        </mc:Choice>
        <mc:Fallback>
          <w:pict>
            <v:shape id="文本框 3" o:spid="_x0000_s1026" o:spt="202" type="#_x0000_t202" style="position:absolute;left:0pt;margin-left:75.55pt;margin-top:778.5pt;height:17.7pt;width:54.1pt;mso-position-horizontal-relative:page;mso-position-vertical-relative:page;z-index:-251657216;mso-width-relative:page;mso-height-relative:page;" filled="f" stroked="f" coordsize="21600,21600" o:gfxdata="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">
              <v:fill on="f" focussize="0,0"/>
              <v:stroke on="f"/>
              <v:imagedata o:title=""/>
              <o:lock v:ext="edit" aspectratio="f"/>
              <v:textbox inset="0mm,0mm,0mm,0mm">
                <w:txbxContent>
                  <w:p>
                    <w:pPr>
                      <w:spacing w:before="11"/>
                      <w:ind w:left="20" w:right="0" w:firstLine="0"/>
                      <w:jc w:val="left"/>
                      <w:rPr>
                        <w:rFonts w:ascii="Times New Roman" w:hAnsi="Times New Roman"/>
                        <w:sz w:val="28"/>
                      </w:rPr>
                    </w:pPr>
                    <w:r>
                      <w:rPr>
                        <w:rFonts w:ascii="Times New Roman" w:hAnsi="Times New Roman"/>
                        <w:sz w:val="28"/>
                      </w:rPr>
                      <w:t>—</w:t>
                    </w:r>
                    <w:r>
                      <w:rPr>
                        <w:rFonts w:ascii="Times New Roman" w:hAnsi="Times New Roman"/>
                        <w:spacing w:val="-1"/>
                        <w:sz w:val="28"/>
                      </w:rPr>
                      <w:t xml:space="preserve"> </w:t>
                    </w:r>
                    <w:r>
                      <w:fldChar w:fldCharType="begin"/>
                    </w:r>
                    <w:r>
                      <w:rPr>
                        <w:rFonts w:ascii="Times New Roman" w:hAnsi="Times New Roman"/>
                        <w:sz w:val="28"/>
                      </w:rPr>
                      <w:instrText xml:space="preserve"> PAGE </w:instrText>
                    </w:r>
                    <w:r>
                      <w:fldChar w:fldCharType="separate"/>
                    </w:r>
                    <w:r>
                      <w:t>10</w:t>
                    </w:r>
                    <w:r>
                      <w:fldChar w:fldCharType="end"/>
                    </w:r>
                    <w:r>
                      <w:rPr>
                        <w:rFonts w:ascii="Times New Roman" w:hAnsi="Times New Roman"/>
                        <w:spacing w:val="-1"/>
                        <w:sz w:val="28"/>
                      </w:rPr>
                      <w:t xml:space="preserve"> </w:t>
                    </w:r>
                    <w:r>
                      <w:rPr>
                        <w:rFonts w:ascii="Times New Roman" w:hAnsi="Times New Roman"/>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D56593"/>
    <w:multiLevelType w:val="singleLevel"/>
    <w:tmpl w:val="37D56593"/>
    <w:lvl w:ilvl="0" w:tentative="0">
      <w:start w:val="1"/>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3"/>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MmE3YjdhZjM0YzI4N2U1ZGI4ODFjMDU3ODY1MzAifQ=="/>
  </w:docVars>
  <w:rsids>
    <w:rsidRoot w:val="00000000"/>
    <w:rsid w:val="00D10545"/>
    <w:rsid w:val="02976249"/>
    <w:rsid w:val="04C83375"/>
    <w:rsid w:val="07316475"/>
    <w:rsid w:val="07B32821"/>
    <w:rsid w:val="0AA30A0F"/>
    <w:rsid w:val="0C33433D"/>
    <w:rsid w:val="0C6B486C"/>
    <w:rsid w:val="109E6D51"/>
    <w:rsid w:val="145807B9"/>
    <w:rsid w:val="19C116C1"/>
    <w:rsid w:val="22EF73B1"/>
    <w:rsid w:val="24A22093"/>
    <w:rsid w:val="24CE2837"/>
    <w:rsid w:val="24DF57F9"/>
    <w:rsid w:val="27D746B3"/>
    <w:rsid w:val="27FD1D81"/>
    <w:rsid w:val="27FE0046"/>
    <w:rsid w:val="2D054ABC"/>
    <w:rsid w:val="2F1F6DA3"/>
    <w:rsid w:val="2F873758"/>
    <w:rsid w:val="31C85D8D"/>
    <w:rsid w:val="34463ECA"/>
    <w:rsid w:val="398F1893"/>
    <w:rsid w:val="41103282"/>
    <w:rsid w:val="41DD6D76"/>
    <w:rsid w:val="51693FFA"/>
    <w:rsid w:val="52B753C1"/>
    <w:rsid w:val="571E3E8E"/>
    <w:rsid w:val="59B241EC"/>
    <w:rsid w:val="5B303F63"/>
    <w:rsid w:val="5B6E45B3"/>
    <w:rsid w:val="5C783AB8"/>
    <w:rsid w:val="5E856D27"/>
    <w:rsid w:val="60642418"/>
    <w:rsid w:val="66D93700"/>
    <w:rsid w:val="6873224A"/>
    <w:rsid w:val="6FCF5C5E"/>
    <w:rsid w:val="70944063"/>
    <w:rsid w:val="71D540E8"/>
    <w:rsid w:val="728F2355"/>
    <w:rsid w:val="74A816DC"/>
    <w:rsid w:val="77F73A1F"/>
    <w:rsid w:val="7B077558"/>
    <w:rsid w:val="7CEB29CC"/>
    <w:rsid w:val="7DCE6F97"/>
    <w:rsid w:val="7EEE4070"/>
    <w:rsid w:val="7F3866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4">
    <w:name w:val="heading 1"/>
    <w:basedOn w:val="1"/>
    <w:next w:val="1"/>
    <w:qFormat/>
    <w:uiPriority w:val="1"/>
    <w:pPr>
      <w:ind w:left="1533" w:right="1677"/>
      <w:outlineLvl w:val="1"/>
    </w:pPr>
    <w:rPr>
      <w:rFonts w:ascii="PMingLiU" w:hAnsi="PMingLiU" w:eastAsia="PMingLiU" w:cs="PMingLiU"/>
      <w:sz w:val="44"/>
      <w:szCs w:val="44"/>
      <w:lang w:val="en-US" w:eastAsia="zh-CN" w:bidi="ar-SA"/>
    </w:rPr>
  </w:style>
  <w:style w:type="paragraph" w:styleId="5">
    <w:name w:val="heading 2"/>
    <w:basedOn w:val="1"/>
    <w:next w:val="1"/>
    <w:qFormat/>
    <w:uiPriority w:val="1"/>
    <w:pPr>
      <w:spacing w:line="485" w:lineRule="exact"/>
      <w:ind w:left="951"/>
      <w:outlineLvl w:val="2"/>
    </w:pPr>
    <w:rPr>
      <w:rFonts w:ascii="Microsoft JhengHei" w:hAnsi="Microsoft JhengHei" w:eastAsia="Microsoft JhengHei" w:cs="Microsoft JhengHei"/>
      <w:b/>
      <w:bCs/>
      <w:sz w:val="32"/>
      <w:szCs w:val="32"/>
      <w:lang w:val="en-US" w:eastAsia="zh-CN" w:bidi="ar-SA"/>
    </w:rPr>
  </w:style>
  <w:style w:type="character" w:default="1" w:styleId="13">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0"/>
    </w:pPr>
    <w:rPr>
      <w:rFonts w:ascii="仿宋_GB2312" w:hAnsi="仿宋_GB2312" w:eastAsia="仿宋" w:cs="仿宋_GB2312"/>
      <w:sz w:val="32"/>
      <w:szCs w:val="32"/>
    </w:rPr>
  </w:style>
  <w:style w:type="paragraph" w:styleId="3">
    <w:name w:val="Body Text Indent"/>
    <w:basedOn w:val="1"/>
    <w:unhideWhenUsed/>
    <w:qFormat/>
    <w:uiPriority w:val="99"/>
    <w:pPr>
      <w:spacing w:after="120"/>
      <w:ind w:left="420" w:leftChars="200"/>
    </w:pPr>
  </w:style>
  <w:style w:type="paragraph" w:styleId="6">
    <w:name w:val="Normal Indent"/>
    <w:basedOn w:val="1"/>
    <w:qFormat/>
    <w:uiPriority w:val="0"/>
    <w:pPr>
      <w:ind w:firstLine="420" w:firstLineChars="200"/>
    </w:pPr>
    <w:rPr>
      <w:rFonts w:ascii="Calibri" w:hAnsi="Calibri"/>
    </w:rPr>
  </w:style>
  <w:style w:type="paragraph" w:styleId="7">
    <w:name w:val="Body Text"/>
    <w:basedOn w:val="1"/>
    <w:qFormat/>
    <w:uiPriority w:val="1"/>
    <w:pPr>
      <w:ind w:left="311"/>
    </w:pPr>
    <w:rPr>
      <w:rFonts w:ascii="宋体" w:hAnsi="宋体" w:eastAsia="宋体" w:cs="宋体"/>
      <w:sz w:val="32"/>
      <w:szCs w:val="3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qFormat/>
    <w:uiPriority w:val="1"/>
    <w:pPr>
      <w:spacing w:before="4"/>
      <w:ind w:left="347"/>
    </w:pPr>
    <w:rPr>
      <w:rFonts w:ascii="PMingLiU" w:hAnsi="PMingLiU" w:eastAsia="PMingLiU" w:cs="PMingLiU"/>
      <w:sz w:val="100"/>
      <w:szCs w:val="100"/>
      <w:lang w:val="en-US" w:eastAsia="zh-CN" w:bidi="ar-SA"/>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311" w:right="456" w:firstLine="640"/>
    </w:pPr>
    <w:rPr>
      <w:rFonts w:ascii="宋体" w:hAnsi="宋体" w:eastAsia="宋体" w:cs="宋体"/>
      <w:lang w:val="en-US" w:eastAsia="zh-CN" w:bidi="ar-SA"/>
    </w:rPr>
  </w:style>
  <w:style w:type="paragraph" w:customStyle="1" w:styleId="17">
    <w:name w:val="Table Paragraph"/>
    <w:basedOn w:val="1"/>
    <w:qFormat/>
    <w:uiPriority w:val="1"/>
    <w:pPr>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6110</Words>
  <Characters>6173</Characters>
  <TotalTime>6</TotalTime>
  <ScaleCrop>false</ScaleCrop>
  <LinksUpToDate>false</LinksUpToDate>
  <CharactersWithSpaces>6209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2021-04-09T19:19:00Z</dcterms:created>
  <dc:creator>艺宣图文广告</dc:creator>
  <cp:lastModifiedBy>kylin</cp:lastModifiedBy>
  <cp:lastPrinted>2023-12-01T23:57:00Z</cp:lastPrinted>
  <dcterms:modified xsi:type="dcterms:W3CDTF">2025-02-18T09:40:00Z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WPS 文字</vt:lpwstr>
  </property>
  <property fmtid="{D5CDD505-2E9C-101B-9397-08002B2CF9AE}" pid="4" name="LastSaved">
    <vt:filetime>2021-04-09T00:00:00Z</vt:filetime>
  </property>
  <property fmtid="{D5CDD505-2E9C-101B-9397-08002B2CF9AE}" pid="5" name="KSOProductBuildVer">
    <vt:lpwstr>2052-11.8.2.11764</vt:lpwstr>
  </property>
  <property fmtid="{D5CDD505-2E9C-101B-9397-08002B2CF9AE}" pid="6" name="ICV">
    <vt:lpwstr>52F27302A0ADD2D7B0E3B3676B4E659D</vt:lpwstr>
  </property>
</Properties>
</file>