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A98DD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60" w:lineRule="exact"/>
        <w:ind w:right="-96" w:rightChars="0" w:firstLine="349" w:firstLineChars="100"/>
        <w:jc w:val="center"/>
        <w:textAlignment w:val="baseline"/>
        <w:rPr>
          <w:rFonts w:ascii="宋体" w:hAnsi="宋体" w:eastAsia="宋体" w:cs="宋体"/>
          <w:b/>
          <w:bCs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eastAsia="zh-CN"/>
        </w:rPr>
        <w:t>宁乡市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val="en-US" w:eastAsia="zh-CN"/>
        </w:rPr>
        <w:t>老粮仓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eastAsia="zh-CN"/>
        </w:rPr>
        <w:t>镇</w:t>
      </w:r>
      <w:r>
        <w:rPr>
          <w:rFonts w:ascii="宋体" w:hAnsi="宋体" w:eastAsia="宋体" w:cs="宋体"/>
          <w:b/>
          <w:bCs/>
          <w:spacing w:val="-6"/>
          <w:sz w:val="36"/>
          <w:szCs w:val="36"/>
        </w:rPr>
        <w:t>国土空间规划（2021-2035年）</w:t>
      </w:r>
    </w:p>
    <w:p w14:paraId="20E5735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60" w:lineRule="exact"/>
        <w:ind w:right="-96" w:rightChars="0" w:firstLine="349" w:firstLineChars="100"/>
        <w:jc w:val="center"/>
        <w:textAlignment w:val="baseline"/>
        <w:rPr>
          <w:rFonts w:ascii="宋体" w:hAnsi="宋体" w:eastAsia="宋体" w:cs="宋体"/>
          <w:b/>
          <w:bCs/>
          <w:spacing w:val="-6"/>
          <w:sz w:val="36"/>
          <w:szCs w:val="36"/>
        </w:rPr>
      </w:pPr>
      <w:r>
        <w:rPr>
          <w:rFonts w:ascii="宋体" w:hAnsi="宋体" w:eastAsia="宋体" w:cs="宋体"/>
          <w:b/>
          <w:bCs/>
          <w:spacing w:val="-6"/>
          <w:sz w:val="36"/>
          <w:szCs w:val="36"/>
        </w:rPr>
        <w:t>批后公布</w:t>
      </w:r>
    </w:p>
    <w:p w14:paraId="0226662E">
      <w:pPr>
        <w:pStyle w:val="2"/>
        <w:spacing w:before="2" w:line="345" w:lineRule="auto"/>
        <w:ind w:left="41" w:right="86" w:firstLine="612"/>
        <w:jc w:val="both"/>
        <w:rPr>
          <w:rFonts w:hint="eastAsia" w:ascii="仿宋" w:hAnsi="仿宋" w:eastAsia="仿宋" w:cs="仿宋"/>
          <w:spacing w:val="-10"/>
        </w:rPr>
      </w:pPr>
    </w:p>
    <w:p w14:paraId="562743B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560" w:lineRule="exact"/>
        <w:ind w:left="41" w:right="86" w:firstLine="612"/>
        <w:jc w:val="both"/>
        <w:textAlignment w:val="baseline"/>
        <w:rPr>
          <w:rFonts w:hint="eastAsia" w:ascii="仿宋" w:hAnsi="仿宋" w:eastAsia="仿宋" w:cs="仿宋"/>
          <w:spacing w:val="-7"/>
        </w:rPr>
      </w:pPr>
      <w:r>
        <w:rPr>
          <w:rFonts w:hint="eastAsia" w:ascii="仿宋" w:hAnsi="仿宋" w:eastAsia="仿宋" w:cs="仿宋"/>
          <w:spacing w:val="-10"/>
        </w:rPr>
        <w:t>《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eastAsia="zh-CN"/>
        </w:rPr>
        <w:t>宁乡市</w:t>
      </w:r>
      <w:r>
        <w:rPr>
          <w:rFonts w:hint="eastAsia" w:cs="仿宋"/>
          <w:b w:val="0"/>
          <w:bCs w:val="0"/>
          <w:spacing w:val="-6"/>
          <w:sz w:val="32"/>
          <w:szCs w:val="32"/>
          <w:lang w:eastAsia="zh-CN"/>
        </w:rPr>
        <w:t>老粮仓镇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eastAsia="zh-CN"/>
        </w:rPr>
        <w:t>国土空间规划（2021-2035年）》已于2025年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eastAsia="zh-CN"/>
        </w:rPr>
        <w:t>日获长沙</w:t>
      </w:r>
      <w:r>
        <w:rPr>
          <w:rFonts w:hint="eastAsia" w:ascii="仿宋" w:hAnsi="仿宋" w:eastAsia="仿宋" w:cs="仿宋"/>
          <w:spacing w:val="-12"/>
          <w:lang w:eastAsia="zh-CN"/>
        </w:rPr>
        <w:t>市</w:t>
      </w:r>
      <w:r>
        <w:rPr>
          <w:rFonts w:hint="eastAsia" w:ascii="仿宋" w:hAnsi="仿宋" w:eastAsia="仿宋" w:cs="仿宋"/>
          <w:spacing w:val="-12"/>
        </w:rPr>
        <w:t>人民政府批准（</w:t>
      </w:r>
      <w:r>
        <w:rPr>
          <w:rFonts w:hint="eastAsia" w:ascii="仿宋" w:hAnsi="仿宋" w:eastAsia="仿宋" w:cs="仿宋"/>
          <w:spacing w:val="-12"/>
          <w:lang w:eastAsia="zh-CN"/>
        </w:rPr>
        <w:t>长</w:t>
      </w:r>
      <w:r>
        <w:rPr>
          <w:rFonts w:hint="eastAsia" w:ascii="仿宋" w:hAnsi="仿宋" w:eastAsia="仿宋" w:cs="仿宋"/>
          <w:spacing w:val="-12"/>
        </w:rPr>
        <w:t>政函〔2025〕</w:t>
      </w:r>
      <w:r>
        <w:rPr>
          <w:rFonts w:hint="eastAsia" w:ascii="仿宋" w:hAnsi="仿宋" w:eastAsia="仿宋" w:cs="仿宋"/>
          <w:spacing w:val="-7"/>
          <w:lang w:val="en-US" w:eastAsia="zh-CN"/>
        </w:rPr>
        <w:t>28</w:t>
      </w:r>
      <w:r>
        <w:rPr>
          <w:rFonts w:hint="eastAsia" w:ascii="仿宋" w:hAnsi="仿宋" w:eastAsia="仿宋" w:cs="仿宋"/>
          <w:spacing w:val="-7"/>
        </w:rPr>
        <w:t>号</w:t>
      </w:r>
      <w:r>
        <w:rPr>
          <w:rFonts w:hint="eastAsia" w:ascii="仿宋" w:hAnsi="仿宋" w:eastAsia="仿宋" w:cs="仿宋"/>
          <w:spacing w:val="-10"/>
        </w:rPr>
        <w:t>）</w:t>
      </w:r>
      <w:r>
        <w:rPr>
          <w:rFonts w:hint="eastAsia" w:ascii="仿宋" w:hAnsi="仿宋" w:eastAsia="仿宋" w:cs="仿宋"/>
        </w:rPr>
        <w:t>，</w:t>
      </w:r>
      <w:r>
        <w:rPr>
          <w:rFonts w:hint="eastAsia" w:ascii="仿宋" w:hAnsi="仿宋" w:eastAsia="仿宋" w:cs="仿宋"/>
          <w:spacing w:val="-7"/>
        </w:rPr>
        <w:t>现将主要内容予以公布。</w:t>
      </w:r>
    </w:p>
    <w:p w14:paraId="3A5BC5E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/>
        </w:rPr>
      </w:pPr>
    </w:p>
    <w:p w14:paraId="65E2707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7" w:line="560" w:lineRule="exact"/>
        <w:ind w:left="18" w:firstLine="619" w:firstLineChars="200"/>
        <w:textAlignment w:val="baseline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6"/>
          <w:sz w:val="32"/>
          <w:szCs w:val="32"/>
        </w:rPr>
        <w:t>一、规划范围和规划期限</w:t>
      </w:r>
    </w:p>
    <w:p w14:paraId="6B5BD85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60" w:lineRule="exact"/>
        <w:ind w:left="21" w:right="87" w:firstLine="655"/>
        <w:textAlignment w:val="baseline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eastAsia="zh-CN"/>
        </w:rPr>
        <w:t>规划范围为老粮仓镇行政辖区范围，分为镇域和镇区两个空间层次。</w:t>
      </w:r>
    </w:p>
    <w:p w14:paraId="4BF2AE4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60" w:lineRule="exact"/>
        <w:ind w:left="21" w:right="87" w:firstLine="655"/>
        <w:textAlignment w:val="baseline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镇域：</w:t>
      </w:r>
      <w:r>
        <w:rPr>
          <w:rFonts w:hint="eastAsia" w:ascii="仿宋" w:hAnsi="仿宋" w:eastAsia="仿宋" w:cs="仿宋"/>
          <w:lang w:eastAsia="zh-CN"/>
        </w:rPr>
        <w:t>辖老粮、唐市两个社区及长田村、回春堂村、江花村、金洪村、双藕村、毛公桥村、星石村、望江村8个行政村，总面积122.08平方千米。主要突出国土空间格局与空间管控、自然资源保护、上位规划落实与详细规划传导及各类设施的统筹安排等内容。</w:t>
      </w:r>
    </w:p>
    <w:p w14:paraId="2FCE4F2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60" w:lineRule="exact"/>
        <w:ind w:left="21" w:right="87" w:firstLine="655"/>
        <w:textAlignment w:val="baseline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镇区：</w:t>
      </w:r>
      <w:r>
        <w:rPr>
          <w:rFonts w:hint="eastAsia" w:ascii="仿宋" w:hAnsi="仿宋" w:eastAsia="仿宋" w:cs="仿宋"/>
          <w:lang w:eastAsia="zh-CN"/>
        </w:rPr>
        <w:t>包括老粮社区集镇（镇政府驻地）、唐市社区集镇两片，总</w:t>
      </w:r>
      <w:r>
        <w:rPr>
          <w:rFonts w:hint="eastAsia" w:cs="仿宋"/>
          <w:lang w:eastAsia="zh-CN"/>
        </w:rPr>
        <w:t>面积</w:t>
      </w:r>
      <w:r>
        <w:rPr>
          <w:rFonts w:hint="eastAsia" w:ascii="仿宋" w:hAnsi="仿宋" w:eastAsia="仿宋" w:cs="仿宋"/>
          <w:lang w:eastAsia="zh-CN"/>
        </w:rPr>
        <w:t>104.11公顷。其中，老粮社区集镇西囊排头山，北至加油站，东至宁乡市六中，南至宁乡市种植专业农民合作社，面积75.94公顷；唐市集镇以城镇开发边界为界限，北至G234，南至楚江，西至唐市社区服务中心，东囊瓷砖厂，面积28.17公顷。突出用地布局、要素管控、空间形态引导等内容。</w:t>
      </w:r>
    </w:p>
    <w:p w14:paraId="4C0AFB2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60" w:lineRule="exact"/>
        <w:ind w:left="21" w:right="87" w:firstLine="655"/>
        <w:textAlignment w:val="baseline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lang w:eastAsia="zh-CN"/>
        </w:rPr>
        <w:t>规划期限为2021-2035年，基期年为2020年，近期至2025年。</w:t>
      </w:r>
    </w:p>
    <w:p w14:paraId="17C51E3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7" w:line="560" w:lineRule="exact"/>
        <w:ind w:left="18" w:firstLine="619" w:firstLineChars="200"/>
        <w:textAlignment w:val="baseline"/>
        <w:rPr>
          <w:rFonts w:hint="eastAsia" w:ascii="宋体" w:hAnsi="宋体" w:eastAsia="宋体" w:cs="宋体"/>
          <w:b/>
          <w:bCs/>
          <w:spacing w:val="-6"/>
          <w:sz w:val="32"/>
          <w:szCs w:val="32"/>
          <w:lang w:eastAsia="zh-CN"/>
        </w:rPr>
      </w:pPr>
      <w:r>
        <w:rPr>
          <w:rFonts w:ascii="宋体" w:hAnsi="宋体" w:eastAsia="宋体" w:cs="宋体"/>
          <w:b/>
          <w:bCs/>
          <w:spacing w:val="-6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pacing w:val="-6"/>
          <w:sz w:val="32"/>
          <w:szCs w:val="32"/>
          <w:lang w:eastAsia="zh-CN"/>
        </w:rPr>
        <w:t>发展定位目标</w:t>
      </w:r>
    </w:p>
    <w:p w14:paraId="576C5C9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3" w:line="560" w:lineRule="exact"/>
        <w:ind w:left="691"/>
        <w:textAlignment w:val="baseline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 w:val="0"/>
          <w:bCs w:val="0"/>
          <w:spacing w:val="-9"/>
        </w:rPr>
        <w:t>1、</w:t>
      </w:r>
      <w:r>
        <w:rPr>
          <w:rFonts w:hint="eastAsia" w:ascii="仿宋" w:hAnsi="仿宋" w:eastAsia="仿宋" w:cs="仿宋"/>
          <w:spacing w:val="-9"/>
        </w:rPr>
        <w:t>总体定位</w:t>
      </w:r>
    </w:p>
    <w:p w14:paraId="43380C2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6" w:line="560" w:lineRule="exact"/>
        <w:ind w:left="21" w:firstLine="643"/>
        <w:textAlignment w:val="baseline"/>
        <w:rPr>
          <w:rFonts w:hint="eastAsia" w:ascii="仿宋" w:hAnsi="仿宋" w:eastAsia="仿宋" w:cs="仿宋"/>
          <w:spacing w:val="-11"/>
          <w:lang w:eastAsia="zh-CN"/>
        </w:rPr>
      </w:pPr>
      <w:r>
        <w:rPr>
          <w:rFonts w:hint="eastAsia" w:ascii="仿宋" w:hAnsi="仿宋" w:eastAsia="仿宋" w:cs="仿宋"/>
          <w:spacing w:val="-11"/>
          <w:lang w:eastAsia="zh-CN"/>
        </w:rPr>
        <w:t>贯彻落实乡村振兴战略，落实《宁乡市国土空间总体规划（2021-2035</w:t>
      </w:r>
      <w:r>
        <w:rPr>
          <w:rFonts w:hint="eastAsia" w:cs="仿宋"/>
          <w:spacing w:val="-11"/>
          <w:lang w:val="en-US" w:eastAsia="zh-CN"/>
        </w:rPr>
        <w:t>年</w:t>
      </w:r>
      <w:r>
        <w:rPr>
          <w:rFonts w:hint="eastAsia" w:ascii="仿宋" w:hAnsi="仿宋" w:eastAsia="仿宋" w:cs="仿宋"/>
          <w:spacing w:val="-11"/>
          <w:lang w:eastAsia="zh-CN"/>
        </w:rPr>
        <w:t>）》确定的“农产品主产区”主体功能，确定老粮仓镇特色类型为特色农业型乡镇，凝聚为“富庶金仓，匠工宝镇”，是以特色农业生产加工销售全流程为基础、珠宝加工文化为特色的农业小镇，发展定位为国家级珠宝加工特色小镇和农业产业强镇、长沙市特色农业发展示范镇。</w:t>
      </w:r>
    </w:p>
    <w:p w14:paraId="53679CB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6" w:line="560" w:lineRule="exact"/>
        <w:ind w:left="21" w:firstLine="643"/>
        <w:textAlignment w:val="baseline"/>
        <w:rPr>
          <w:rFonts w:hint="eastAsia" w:ascii="仿宋" w:hAnsi="仿宋" w:eastAsia="仿宋" w:cs="仿宋"/>
          <w:spacing w:val="-11"/>
          <w:lang w:eastAsia="zh-CN"/>
        </w:rPr>
      </w:pPr>
      <w:r>
        <w:rPr>
          <w:rFonts w:hint="eastAsia" w:ascii="仿宋" w:hAnsi="仿宋" w:eastAsia="仿宋" w:cs="仿宋"/>
          <w:spacing w:val="-11"/>
          <w:lang w:eastAsia="zh-CN"/>
        </w:rPr>
        <w:t>2、规划目标</w:t>
      </w:r>
    </w:p>
    <w:p w14:paraId="64DF0DD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6" w:line="560" w:lineRule="exact"/>
        <w:ind w:left="21" w:firstLine="643"/>
        <w:textAlignment w:val="baseline"/>
        <w:rPr>
          <w:rFonts w:hint="eastAsia" w:ascii="仿宋" w:hAnsi="仿宋" w:eastAsia="仿宋" w:cs="仿宋"/>
          <w:spacing w:val="-11"/>
          <w:lang w:eastAsia="zh-CN"/>
        </w:rPr>
      </w:pPr>
      <w:r>
        <w:rPr>
          <w:rFonts w:hint="eastAsia" w:ascii="仿宋" w:hAnsi="仿宋" w:eastAsia="仿宋" w:cs="仿宋"/>
          <w:spacing w:val="-11"/>
          <w:lang w:eastAsia="zh-CN"/>
        </w:rPr>
        <w:t>至2025年：全镇社会经济健康快速发展，小城镇建设和乡村振兴快速推进，质量和效益明显提升；区域经济合作显著增强，创新能力不断提升；国土空间开发保护格局得到优化，耕地和生态环境保护深入人心，城乡人居环境明显改善，城乡基本公共服务均等化水平明显提高；行政效率和公信力显著提升，治理效能更佳，发展安全保障更强，初步建成美丽幸福的农业小镇。</w:t>
      </w:r>
    </w:p>
    <w:p w14:paraId="69ABEE4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60" w:lineRule="exact"/>
        <w:ind w:left="28" w:right="4" w:firstLine="639"/>
        <w:jc w:val="both"/>
        <w:textAlignment w:val="baseline"/>
        <w:rPr>
          <w:rFonts w:hint="eastAsia" w:ascii="仿宋" w:hAnsi="仿宋" w:eastAsia="仿宋" w:cs="仿宋"/>
          <w:spacing w:val="-8"/>
        </w:rPr>
      </w:pPr>
      <w:r>
        <w:rPr>
          <w:rFonts w:hint="eastAsia" w:ascii="仿宋" w:hAnsi="仿宋" w:eastAsia="仿宋" w:cs="仿宋"/>
          <w:spacing w:val="-8"/>
        </w:rPr>
        <w:t>至2035年：经济实力大幅提升，生态环境良好，绿色生产生活方式广泛形成，人与自然和谐共生；公共服务基本实现均等化，城乡区域发展差距和居民生活差距显著缩小；城乡安全建设达到更高水平，人民生活更加美好；社会事业全面发展、全体人民共同富裕取得更为明显的实质性进展。</w:t>
      </w:r>
    </w:p>
    <w:p w14:paraId="000C3FC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7" w:line="560" w:lineRule="exact"/>
        <w:ind w:left="18" w:firstLine="619" w:firstLineChars="200"/>
        <w:textAlignment w:val="baseline"/>
        <w:rPr>
          <w:rFonts w:hint="eastAsia" w:ascii="宋体" w:hAnsi="宋体" w:eastAsia="宋体" w:cs="宋体"/>
          <w:b/>
          <w:bCs/>
          <w:spacing w:val="-6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pacing w:val="-6"/>
          <w:sz w:val="32"/>
          <w:szCs w:val="32"/>
          <w:lang w:eastAsia="zh-CN"/>
        </w:rPr>
        <w:t>三、自然资源保护与利用</w:t>
      </w:r>
    </w:p>
    <w:p w14:paraId="233A3FD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60" w:lineRule="exact"/>
        <w:ind w:left="28" w:right="4" w:firstLine="639"/>
        <w:jc w:val="both"/>
        <w:textAlignment w:val="baseline"/>
        <w:rPr>
          <w:rFonts w:hint="default" w:ascii="仿宋" w:hAnsi="仿宋" w:eastAsia="仿宋" w:cs="仿宋"/>
          <w:spacing w:val="-8"/>
          <w:lang w:val="en-US" w:eastAsia="zh-CN"/>
        </w:rPr>
      </w:pPr>
      <w:r>
        <w:rPr>
          <w:rFonts w:hint="eastAsia" w:cs="仿宋"/>
          <w:spacing w:val="-8"/>
          <w:lang w:val="en-US" w:eastAsia="zh-CN"/>
        </w:rPr>
        <w:t>1</w:t>
      </w:r>
      <w:r>
        <w:rPr>
          <w:rFonts w:hint="eastAsia" w:ascii="仿宋" w:hAnsi="仿宋" w:eastAsia="仿宋" w:cs="仿宋"/>
          <w:spacing w:val="-8"/>
        </w:rPr>
        <w:t>、</w:t>
      </w:r>
      <w:r>
        <w:rPr>
          <w:rFonts w:hint="eastAsia" w:cs="仿宋"/>
          <w:spacing w:val="-8"/>
          <w:lang w:val="en-US" w:eastAsia="zh-CN"/>
        </w:rPr>
        <w:t>三条基本控制线</w:t>
      </w:r>
    </w:p>
    <w:p w14:paraId="602B120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60" w:lineRule="exact"/>
        <w:ind w:left="28" w:right="4" w:firstLine="639"/>
        <w:jc w:val="both"/>
        <w:textAlignment w:val="baseline"/>
        <w:rPr>
          <w:rFonts w:hint="eastAsia" w:ascii="仿宋" w:hAnsi="仿宋" w:eastAsia="仿宋" w:cs="仿宋"/>
          <w:spacing w:val="-8"/>
        </w:rPr>
      </w:pPr>
      <w:r>
        <w:rPr>
          <w:rFonts w:hint="eastAsia" w:ascii="仿宋" w:hAnsi="仿宋" w:eastAsia="仿宋" w:cs="仿宋"/>
          <w:spacing w:val="-8"/>
        </w:rPr>
        <w:t>耕地与永久基本农田</w:t>
      </w:r>
      <w:r>
        <w:rPr>
          <w:rFonts w:hint="default" w:ascii="仿宋" w:hAnsi="仿宋" w:eastAsia="仿宋" w:cs="仿宋"/>
          <w:spacing w:val="-8"/>
        </w:rPr>
        <w:t>：至2035年，老粮仓镇耕地保有量不低于54152.25亩（3610.15公顷），永久基本农田面积49599.60亩（3306.64公顷）。</w:t>
      </w:r>
    </w:p>
    <w:p w14:paraId="758B22B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60" w:lineRule="exact"/>
        <w:ind w:left="28" w:right="4" w:firstLine="639"/>
        <w:jc w:val="both"/>
        <w:textAlignment w:val="baseline"/>
        <w:rPr>
          <w:rFonts w:hint="eastAsia" w:ascii="仿宋" w:hAnsi="仿宋" w:eastAsia="仿宋" w:cs="仿宋"/>
          <w:spacing w:val="-8"/>
        </w:rPr>
      </w:pPr>
      <w:r>
        <w:rPr>
          <w:rFonts w:hint="default" w:ascii="仿宋" w:hAnsi="仿宋" w:eastAsia="仿宋" w:cs="仿宋"/>
          <w:spacing w:val="-8"/>
        </w:rPr>
        <w:t>生态保护红线：老粮仓镇不涉及生态保护红线。</w:t>
      </w:r>
    </w:p>
    <w:p w14:paraId="7D155C0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60" w:lineRule="exact"/>
        <w:ind w:left="28" w:right="4" w:firstLine="639"/>
        <w:jc w:val="both"/>
        <w:textAlignment w:val="baseline"/>
        <w:rPr>
          <w:rFonts w:hint="eastAsia" w:ascii="仿宋" w:hAnsi="仿宋" w:eastAsia="仿宋" w:cs="仿宋"/>
          <w:spacing w:val="-8"/>
        </w:rPr>
      </w:pPr>
      <w:r>
        <w:rPr>
          <w:rFonts w:hint="default" w:ascii="仿宋" w:hAnsi="仿宋" w:eastAsia="仿宋" w:cs="仿宋"/>
          <w:spacing w:val="-8"/>
        </w:rPr>
        <w:t>城镇开发边界：划定城镇开发边界81.17公顷</w:t>
      </w:r>
      <w:r>
        <w:rPr>
          <w:rFonts w:hint="eastAsia" w:cs="仿宋"/>
          <w:spacing w:val="-8"/>
          <w:lang w:eastAsia="zh-CN"/>
        </w:rPr>
        <w:t>，</w:t>
      </w:r>
      <w:r>
        <w:rPr>
          <w:rFonts w:hint="default" w:ascii="仿宋" w:hAnsi="仿宋" w:eastAsia="仿宋" w:cs="仿宋"/>
          <w:spacing w:val="-8"/>
        </w:rPr>
        <w:t>主要分布于老粮社区、唐市社区。</w:t>
      </w:r>
    </w:p>
    <w:p w14:paraId="28CE4E1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9" w:line="560" w:lineRule="exact"/>
        <w:ind w:left="659"/>
        <w:textAlignment w:val="baseline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-5"/>
          <w:lang w:val="en-US" w:eastAsia="zh-CN"/>
        </w:rPr>
        <w:t>2</w:t>
      </w:r>
      <w:r>
        <w:rPr>
          <w:rFonts w:hint="eastAsia" w:ascii="仿宋" w:hAnsi="仿宋" w:eastAsia="仿宋" w:cs="仿宋"/>
          <w:spacing w:val="-5"/>
        </w:rPr>
        <w:t>、国土空间总体格局</w:t>
      </w:r>
    </w:p>
    <w:p w14:paraId="0ECFE16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60" w:lineRule="exact"/>
        <w:ind w:left="28" w:right="4" w:firstLine="639"/>
        <w:jc w:val="both"/>
        <w:textAlignment w:val="baseline"/>
        <w:rPr>
          <w:rFonts w:hint="default" w:ascii="仿宋" w:hAnsi="仿宋" w:eastAsia="仿宋" w:cs="仿宋"/>
          <w:spacing w:val="-8"/>
        </w:rPr>
      </w:pPr>
      <w:r>
        <w:rPr>
          <w:rFonts w:hint="default" w:ascii="仿宋" w:hAnsi="仿宋" w:eastAsia="仿宋" w:cs="仿宋"/>
          <w:spacing w:val="-8"/>
          <w:lang w:val="en-US" w:eastAsia="zh-CN"/>
        </w:rPr>
        <w:t>构建“一廊一带两核三区”的镇域国土空间保护与开发总体格局：</w:t>
      </w:r>
    </w:p>
    <w:p w14:paraId="0602812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60" w:lineRule="exact"/>
        <w:ind w:left="28" w:right="4" w:firstLine="639"/>
        <w:jc w:val="both"/>
        <w:textAlignment w:val="baseline"/>
        <w:rPr>
          <w:rFonts w:hint="default" w:ascii="仿宋" w:hAnsi="仿宋" w:eastAsia="仿宋" w:cs="仿宋"/>
          <w:spacing w:val="-8"/>
        </w:rPr>
      </w:pPr>
      <w:r>
        <w:rPr>
          <w:rFonts w:hint="default" w:ascii="仿宋" w:hAnsi="仿宋" w:eastAsia="仿宋" w:cs="仿宋"/>
          <w:spacing w:val="-8"/>
        </w:rPr>
        <w:t>“一廊”：依托楚江河的生态廊道；</w:t>
      </w:r>
    </w:p>
    <w:p w14:paraId="5264106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60" w:lineRule="exact"/>
        <w:ind w:left="28" w:right="4" w:firstLine="639"/>
        <w:jc w:val="both"/>
        <w:textAlignment w:val="baseline"/>
        <w:rPr>
          <w:rFonts w:hint="default" w:ascii="仿宋" w:hAnsi="仿宋" w:eastAsia="仿宋" w:cs="仿宋"/>
          <w:spacing w:val="-8"/>
        </w:rPr>
      </w:pPr>
      <w:r>
        <w:rPr>
          <w:rFonts w:hint="default" w:ascii="仿宋" w:hAnsi="仿宋" w:eastAsia="仿宋" w:cs="仿宋"/>
          <w:spacing w:val="-8"/>
        </w:rPr>
        <w:t>“一带”：依托楚江河两岸及过道的城乡建设空间集中发展带；</w:t>
      </w:r>
    </w:p>
    <w:p w14:paraId="7BDD79E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60" w:lineRule="exact"/>
        <w:ind w:left="28" w:right="4" w:firstLine="639"/>
        <w:jc w:val="both"/>
        <w:textAlignment w:val="baseline"/>
        <w:rPr>
          <w:rFonts w:hint="default" w:ascii="仿宋" w:hAnsi="仿宋" w:eastAsia="仿宋" w:cs="仿宋"/>
          <w:spacing w:val="-8"/>
        </w:rPr>
      </w:pPr>
      <w:r>
        <w:rPr>
          <w:rFonts w:hint="default" w:ascii="仿宋" w:hAnsi="仿宋" w:eastAsia="仿宋" w:cs="仿宋"/>
          <w:spacing w:val="-8"/>
        </w:rPr>
        <w:t>“两核”：北部老粮社区的中心集镇综合服务核心与南部唐市集镇区核心；</w:t>
      </w:r>
    </w:p>
    <w:p w14:paraId="4B24CD1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60" w:lineRule="exact"/>
        <w:ind w:left="28" w:right="4" w:firstLine="639"/>
        <w:jc w:val="both"/>
        <w:textAlignment w:val="baseline"/>
        <w:rPr>
          <w:rFonts w:hint="eastAsia"/>
          <w:spacing w:val="6"/>
          <w:lang w:eastAsia="zh-CN"/>
        </w:rPr>
      </w:pPr>
      <w:r>
        <w:rPr>
          <w:rFonts w:hint="default" w:ascii="仿宋" w:hAnsi="仿宋" w:eastAsia="仿宋" w:cs="仿宋"/>
          <w:spacing w:val="-8"/>
        </w:rPr>
        <w:t>“三区”：北部山地特色农旅片区、西部丘陵精品农业片区、南部丘陵特色农产片区。</w:t>
      </w:r>
    </w:p>
    <w:p w14:paraId="1089BAE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32" w:firstLineChars="200"/>
        <w:textAlignment w:val="baseline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-2"/>
          <w:lang w:val="en-US" w:eastAsia="zh-CN"/>
        </w:rPr>
        <w:t>3</w:t>
      </w:r>
      <w:r>
        <w:rPr>
          <w:rFonts w:hint="eastAsia" w:ascii="仿宋" w:hAnsi="仿宋" w:eastAsia="仿宋" w:cs="仿宋"/>
          <w:spacing w:val="-2"/>
        </w:rPr>
        <w:t>、镇村体系规划</w:t>
      </w:r>
    </w:p>
    <w:p w14:paraId="6ACBB45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zh-CN"/>
        </w:rPr>
      </w:pPr>
      <w:r>
        <w:rPr>
          <w:rFonts w:hint="eastAsia" w:ascii="仿宋" w:hAnsi="仿宋" w:eastAsia="仿宋" w:cs="仿宋"/>
          <w:spacing w:val="6"/>
          <w:lang w:eastAsia="zh-CN"/>
        </w:rPr>
        <w:t>规划形成“镇区——中心村——一般村”的三级城乡村镇</w:t>
      </w:r>
      <w:r>
        <w:rPr>
          <w:rFonts w:hint="eastAsia" w:ascii="仿宋" w:hAnsi="仿宋" w:eastAsia="仿宋" w:cs="仿宋"/>
          <w:spacing w:val="6"/>
          <w:lang w:val="en-US" w:eastAsia="zh-CN"/>
        </w:rPr>
        <w:t>体系结构。</w:t>
      </w:r>
    </w:p>
    <w:p w14:paraId="387B017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en-US"/>
        </w:rPr>
      </w:pPr>
      <w:r>
        <w:rPr>
          <w:rFonts w:hint="eastAsia" w:ascii="仿宋" w:hAnsi="仿宋" w:eastAsia="仿宋" w:cs="仿宋"/>
          <w:spacing w:val="6"/>
          <w:lang w:val="en-US" w:eastAsia="en-US"/>
        </w:rPr>
        <w:t>“镇区”：包括老粮社区、唐市社区，是全镇政治、经济、文化中心，总面积104.11公顷；</w:t>
      </w:r>
    </w:p>
    <w:p w14:paraId="12155DC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en-US"/>
        </w:rPr>
      </w:pPr>
      <w:r>
        <w:rPr>
          <w:rFonts w:hint="default" w:ascii="仿宋" w:hAnsi="仿宋" w:eastAsia="仿宋" w:cs="仿宋"/>
          <w:spacing w:val="6"/>
          <w:lang w:val="en-US" w:eastAsia="en-US"/>
        </w:rPr>
        <w:t>“中心村”：1个，为毛公桥村，公共服务设施相对完善，服务周边村庄；</w:t>
      </w:r>
    </w:p>
    <w:p w14:paraId="0D92BFF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zh-CN"/>
        </w:rPr>
      </w:pPr>
      <w:r>
        <w:rPr>
          <w:rFonts w:hint="default" w:ascii="仿宋" w:hAnsi="仿宋" w:eastAsia="仿宋" w:cs="仿宋"/>
          <w:spacing w:val="6"/>
          <w:lang w:val="en-US" w:eastAsia="en-US"/>
        </w:rPr>
        <w:t>“一般村”：7个，包括望江村、江花村、回春堂村、金洪村、双藕村、长田村、星石村，重点发展自身优势产业，推进生态宜居美丽乡村建设。</w:t>
      </w:r>
    </w:p>
    <w:p w14:paraId="76A59B8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zh-CN"/>
        </w:rPr>
      </w:pPr>
      <w:r>
        <w:rPr>
          <w:rFonts w:hint="eastAsia" w:ascii="仿宋" w:hAnsi="仿宋" w:eastAsia="仿宋" w:cs="仿宋"/>
          <w:spacing w:val="6"/>
          <w:lang w:val="en-US" w:eastAsia="zh-CN"/>
        </w:rPr>
        <w:t>4</w:t>
      </w:r>
      <w:r>
        <w:rPr>
          <w:rFonts w:hint="eastAsia" w:ascii="仿宋" w:hAnsi="仿宋" w:eastAsia="仿宋" w:cs="仿宋"/>
          <w:spacing w:val="6"/>
          <w:lang w:val="en-US" w:eastAsia="en-US"/>
        </w:rPr>
        <w:t>、</w:t>
      </w:r>
      <w:r>
        <w:rPr>
          <w:rFonts w:hint="eastAsia" w:ascii="仿宋" w:hAnsi="仿宋" w:eastAsia="仿宋" w:cs="仿宋"/>
          <w:spacing w:val="6"/>
          <w:lang w:val="en-US" w:eastAsia="zh-CN"/>
        </w:rPr>
        <w:t>国土空间整治修复</w:t>
      </w:r>
    </w:p>
    <w:p w14:paraId="71DDEB8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default" w:ascii="仿宋" w:hAnsi="仿宋" w:eastAsia="仿宋" w:cs="仿宋"/>
          <w:spacing w:val="6"/>
          <w:lang w:val="en-US" w:eastAsia="en-US"/>
        </w:rPr>
      </w:pPr>
      <w:r>
        <w:rPr>
          <w:rFonts w:hint="default" w:ascii="仿宋" w:hAnsi="仿宋" w:eastAsia="仿宋" w:cs="仿宋"/>
          <w:spacing w:val="6"/>
          <w:lang w:val="en-US" w:eastAsia="en-US"/>
        </w:rPr>
        <w:t>推进全域土地综合整治，包括农用地整治（建设高标准农田、永久基本农田储备区等）、建设用地整治（废弃宅基地、工矿用地复垦等）；加强水资源、林地、湿地保护，开展矿山生态修复、水土流失综合治理，构建生态廊道与生物多样性保护网络。</w:t>
      </w:r>
    </w:p>
    <w:p w14:paraId="2C0F32A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7" w:line="560" w:lineRule="exact"/>
        <w:ind w:left="18" w:firstLine="619" w:firstLineChars="200"/>
        <w:textAlignment w:val="baseline"/>
        <w:rPr>
          <w:rFonts w:hint="eastAsia" w:ascii="宋体" w:hAnsi="宋体" w:eastAsia="宋体" w:cs="宋体"/>
          <w:b/>
          <w:bCs/>
          <w:spacing w:val="-6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pacing w:val="-6"/>
          <w:sz w:val="32"/>
          <w:szCs w:val="32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spacing w:val="-6"/>
          <w:sz w:val="32"/>
          <w:szCs w:val="32"/>
          <w:lang w:eastAsia="zh-CN"/>
        </w:rPr>
        <w:t>国土空间开发</w:t>
      </w:r>
    </w:p>
    <w:p w14:paraId="0AF7E90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zh-CN"/>
        </w:rPr>
      </w:pPr>
      <w:r>
        <w:rPr>
          <w:rFonts w:hint="eastAsia" w:ascii="仿宋" w:hAnsi="仿宋" w:eastAsia="仿宋" w:cs="仿宋"/>
          <w:spacing w:val="6"/>
          <w:lang w:val="en-US" w:eastAsia="en-US"/>
        </w:rPr>
        <w:t>1</w:t>
      </w:r>
      <w:r>
        <w:rPr>
          <w:rFonts w:hint="eastAsia" w:cs="仿宋"/>
          <w:spacing w:val="6"/>
          <w:lang w:val="en-US" w:eastAsia="zh-CN"/>
        </w:rPr>
        <w:t>、</w:t>
      </w:r>
      <w:r>
        <w:rPr>
          <w:rFonts w:hint="eastAsia" w:ascii="仿宋" w:hAnsi="仿宋" w:eastAsia="仿宋" w:cs="仿宋"/>
          <w:spacing w:val="6"/>
          <w:lang w:val="en-US" w:eastAsia="zh-CN"/>
        </w:rPr>
        <w:t>建设用地布局</w:t>
      </w:r>
    </w:p>
    <w:p w14:paraId="5547CA4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default" w:ascii="仿宋" w:hAnsi="仿宋" w:eastAsia="仿宋" w:cs="仿宋"/>
          <w:spacing w:val="6"/>
          <w:lang w:val="en-US" w:eastAsia="en-US"/>
        </w:rPr>
      </w:pPr>
      <w:r>
        <w:rPr>
          <w:rFonts w:hint="default" w:ascii="仿宋" w:hAnsi="仿宋" w:eastAsia="仿宋" w:cs="仿宋"/>
          <w:spacing w:val="6"/>
          <w:lang w:val="en-US" w:eastAsia="zh-CN"/>
        </w:rPr>
        <w:t>至2035年，</w:t>
      </w:r>
      <w:r>
        <w:rPr>
          <w:rFonts w:hint="default" w:ascii="仿宋" w:hAnsi="仿宋" w:eastAsia="仿宋" w:cs="仿宋"/>
          <w:spacing w:val="6"/>
          <w:lang w:val="en-US" w:eastAsia="en-US"/>
        </w:rPr>
        <w:t>城镇建设用地81.17公顷，占国土总面积的0.66%；村庄建设用地</w:t>
      </w:r>
      <w:r>
        <w:rPr>
          <w:rFonts w:hint="eastAsia" w:ascii="仿宋" w:hAnsi="仿宋" w:eastAsia="仿宋" w:cs="仿宋"/>
          <w:spacing w:val="6"/>
          <w:lang w:val="en-US" w:eastAsia="en-US"/>
        </w:rPr>
        <w:t>1388.49</w:t>
      </w:r>
      <w:r>
        <w:rPr>
          <w:rFonts w:hint="default" w:ascii="仿宋" w:hAnsi="仿宋" w:eastAsia="仿宋" w:cs="仿宋"/>
          <w:spacing w:val="6"/>
          <w:lang w:val="en-US" w:eastAsia="en-US"/>
        </w:rPr>
        <w:t>公顷（含61.46公顷留白指标），占国土总面积的10.86%。</w:t>
      </w:r>
    </w:p>
    <w:p w14:paraId="40AD9946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4" w:firstLineChars="200"/>
        <w:textAlignment w:val="baseline"/>
        <w:rPr>
          <w:rFonts w:hint="eastAsia" w:ascii="仿宋" w:hAnsi="仿宋" w:eastAsia="仿宋" w:cs="仿宋"/>
          <w:spacing w:val="-4"/>
          <w:lang w:eastAsia="zh-CN"/>
        </w:rPr>
      </w:pPr>
      <w:r>
        <w:rPr>
          <w:rFonts w:hint="eastAsia" w:ascii="仿宋" w:hAnsi="仿宋" w:eastAsia="仿宋" w:cs="仿宋"/>
          <w:spacing w:val="-4"/>
          <w:lang w:eastAsia="zh-CN"/>
        </w:rPr>
        <w:t>产业发展格局</w:t>
      </w:r>
    </w:p>
    <w:p w14:paraId="199F571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cs="仿宋"/>
          <w:spacing w:val="6"/>
          <w:lang w:val="en-US" w:eastAsia="zh-CN"/>
        </w:rPr>
      </w:pPr>
      <w:r>
        <w:rPr>
          <w:rFonts w:hint="default" w:cs="仿宋"/>
          <w:spacing w:val="6"/>
          <w:lang w:val="en-US" w:eastAsia="zh-CN"/>
        </w:rPr>
        <w:t>结合老粮仓镇产业定位和各村产业基础，规划形成“一轴一带五区两核多点”的产业布局空间结构：</w:t>
      </w:r>
    </w:p>
    <w:p w14:paraId="5EA4DAA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cs="仿宋"/>
          <w:spacing w:val="6"/>
          <w:lang w:val="en-US" w:eastAsia="zh-CN"/>
        </w:rPr>
      </w:pPr>
      <w:r>
        <w:rPr>
          <w:rFonts w:hint="default" w:cs="仿宋"/>
          <w:spacing w:val="6"/>
          <w:lang w:val="en-US" w:eastAsia="zh-CN"/>
        </w:rPr>
        <w:t>“一轴”：农旅结合发展轴；</w:t>
      </w:r>
    </w:p>
    <w:p w14:paraId="123382E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cs="仿宋"/>
          <w:spacing w:val="6"/>
          <w:lang w:val="en-US" w:eastAsia="zh-CN"/>
        </w:rPr>
      </w:pPr>
      <w:r>
        <w:rPr>
          <w:rFonts w:hint="default" w:cs="仿宋"/>
          <w:spacing w:val="6"/>
          <w:lang w:val="en-US" w:eastAsia="zh-CN"/>
        </w:rPr>
        <w:t>“一带”：农贸一体发展带；</w:t>
      </w:r>
    </w:p>
    <w:p w14:paraId="6249A13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cs="仿宋"/>
          <w:spacing w:val="6"/>
          <w:lang w:val="en-US" w:eastAsia="zh-CN"/>
        </w:rPr>
      </w:pPr>
      <w:r>
        <w:rPr>
          <w:rFonts w:hint="default" w:cs="仿宋"/>
          <w:spacing w:val="6"/>
          <w:lang w:val="en-US" w:eastAsia="zh-CN"/>
        </w:rPr>
        <w:t>“五区”：五个特色产业分区（中部田园片区、南部丘陵特色农产片区、西部丘陵精品农业片区、西部生态农业片区、北部山地特色农旅片区）；</w:t>
      </w:r>
    </w:p>
    <w:p w14:paraId="1AB9062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cs="仿宋"/>
          <w:spacing w:val="6"/>
          <w:lang w:val="en-US" w:eastAsia="zh-CN"/>
        </w:rPr>
      </w:pPr>
      <w:r>
        <w:rPr>
          <w:rFonts w:hint="default" w:cs="仿宋"/>
          <w:spacing w:val="6"/>
          <w:lang w:val="en-US" w:eastAsia="zh-CN"/>
        </w:rPr>
        <w:t>“两核”：综合农旅组团和田园小镇组团；</w:t>
      </w:r>
    </w:p>
    <w:p w14:paraId="37E3CDA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en-US"/>
        </w:rPr>
      </w:pPr>
      <w:r>
        <w:rPr>
          <w:rFonts w:hint="default" w:cs="仿宋"/>
          <w:spacing w:val="6"/>
          <w:lang w:val="en-US" w:eastAsia="zh-CN"/>
        </w:rPr>
        <w:t>“多点”：各村结合各自特色发展的农业生产片区。</w:t>
      </w:r>
    </w:p>
    <w:p w14:paraId="32E54AC5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4" w:firstLineChars="200"/>
        <w:textAlignment w:val="baseline"/>
        <w:rPr>
          <w:rFonts w:hint="eastAsia" w:ascii="仿宋" w:hAnsi="仿宋" w:eastAsia="仿宋" w:cs="仿宋"/>
          <w:spacing w:val="-4"/>
          <w:lang w:eastAsia="zh-CN"/>
        </w:rPr>
      </w:pPr>
      <w:r>
        <w:rPr>
          <w:rFonts w:hint="eastAsia" w:ascii="仿宋" w:hAnsi="仿宋" w:eastAsia="仿宋" w:cs="仿宋"/>
          <w:spacing w:val="-4"/>
          <w:lang w:eastAsia="zh-CN"/>
        </w:rPr>
        <w:t>综合交通规划</w:t>
      </w:r>
    </w:p>
    <w:p w14:paraId="77616CB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cs="仿宋"/>
          <w:spacing w:val="6"/>
          <w:lang w:val="en-US" w:eastAsia="zh-CN"/>
        </w:rPr>
      </w:pPr>
      <w:r>
        <w:rPr>
          <w:rFonts w:hint="eastAsia" w:cs="仿宋"/>
          <w:spacing w:val="6"/>
          <w:lang w:val="en-US" w:eastAsia="zh-CN"/>
        </w:rPr>
        <w:t>对外交通</w:t>
      </w:r>
      <w:r>
        <w:rPr>
          <w:rFonts w:hint="default" w:cs="仿宋"/>
          <w:spacing w:val="6"/>
          <w:lang w:val="en-US" w:eastAsia="zh-CN"/>
        </w:rPr>
        <w:t>：形成“三横三纵”的对外交通格局，“三横”为S327、S326、南横线高速；“三纵”为华常高速、G234、洛湛铁路。规划2035年实现各行政村10分钟进镇区、便捷上高速，融入长株潭都市圈交通网络。</w:t>
      </w:r>
    </w:p>
    <w:p w14:paraId="58AAC5B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en-US"/>
        </w:rPr>
      </w:pPr>
      <w:r>
        <w:rPr>
          <w:rFonts w:hint="default" w:cs="仿宋"/>
          <w:spacing w:val="6"/>
          <w:lang w:val="en-US" w:eastAsia="zh-CN"/>
        </w:rPr>
        <w:t>内部交通：完善乡道、村组道路，实现“四好农村路”全覆盖，农村居民点道路形成循环回路，路面宽度不低于3.5米。</w:t>
      </w:r>
    </w:p>
    <w:p w14:paraId="791E992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60"/>
        <w:textAlignment w:val="baseline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-4"/>
          <w:lang w:val="en-US" w:eastAsia="zh-CN"/>
        </w:rPr>
        <w:t>4</w:t>
      </w:r>
      <w:r>
        <w:rPr>
          <w:rFonts w:hint="eastAsia" w:ascii="仿宋" w:hAnsi="仿宋" w:eastAsia="仿宋" w:cs="仿宋"/>
          <w:spacing w:val="-4"/>
        </w:rPr>
        <w:t>、公共服务设施规划</w:t>
      </w:r>
    </w:p>
    <w:p w14:paraId="356EEE6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default" w:cs="仿宋"/>
          <w:spacing w:val="6"/>
          <w:lang w:val="en-US" w:eastAsia="zh-CN"/>
        </w:rPr>
      </w:pPr>
      <w:r>
        <w:rPr>
          <w:rFonts w:hint="default" w:cs="仿宋"/>
          <w:spacing w:val="6"/>
          <w:lang w:val="en-US" w:eastAsia="zh-CN"/>
        </w:rPr>
        <w:t>坚持以人民为中心，形成“镇区—行政村”两级公共服务体系：</w:t>
      </w:r>
    </w:p>
    <w:p w14:paraId="664FACF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default" w:cs="仿宋"/>
          <w:spacing w:val="6"/>
          <w:lang w:val="en-US" w:eastAsia="zh-CN"/>
        </w:rPr>
      </w:pPr>
      <w:r>
        <w:rPr>
          <w:rFonts w:hint="default" w:cs="仿宋"/>
          <w:spacing w:val="6"/>
          <w:lang w:val="en-US" w:eastAsia="zh-CN"/>
        </w:rPr>
        <w:t>乡镇生活圈：完善乡镇便民服务中心、初中、小学、文化活动中心、全民健身中心、乡镇卫生院、敬老院等设施，打造乡镇公共服务中心；</w:t>
      </w:r>
    </w:p>
    <w:p w14:paraId="199AB7C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en-US"/>
        </w:rPr>
      </w:pPr>
      <w:r>
        <w:rPr>
          <w:rFonts w:hint="default" w:cs="仿宋"/>
          <w:spacing w:val="6"/>
          <w:lang w:val="en-US" w:eastAsia="zh-CN"/>
        </w:rPr>
        <w:t>乡村生活圈：配置小学、幼儿园、文化活动室、室外健身场地、卫生室、养老服务站、农村综合服务平台等设施，形成村级公共服务中心。</w:t>
      </w:r>
    </w:p>
    <w:p w14:paraId="7800544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" w:line="560" w:lineRule="exact"/>
        <w:ind w:firstLine="620" w:firstLineChars="200"/>
        <w:textAlignment w:val="baseline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-5"/>
          <w:lang w:val="en-US" w:eastAsia="zh-CN"/>
        </w:rPr>
        <w:t>5</w:t>
      </w:r>
      <w:r>
        <w:rPr>
          <w:rFonts w:hint="eastAsia" w:ascii="仿宋" w:hAnsi="仿宋" w:eastAsia="仿宋" w:cs="仿宋"/>
          <w:spacing w:val="-5"/>
        </w:rPr>
        <w:t>、市政公用设施规划</w:t>
      </w:r>
    </w:p>
    <w:p w14:paraId="1692BF7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en-US"/>
        </w:rPr>
      </w:pPr>
      <w:r>
        <w:rPr>
          <w:rFonts w:hint="eastAsia" w:ascii="仿宋" w:hAnsi="仿宋" w:eastAsia="仿宋" w:cs="仿宋"/>
          <w:spacing w:val="6"/>
          <w:lang w:val="en-US" w:eastAsia="en-US"/>
        </w:rPr>
        <w:t>落实给水、排水、电力、通信、燃气、环卫、水利等专项规划，包括建设城乡供水一体化系统、污水处理设施（镇区污水处理率100%，村庄80%以上）、电力变电站、LNG气化站、垃圾收转运体系等。</w:t>
      </w:r>
    </w:p>
    <w:p w14:paraId="78053EB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77"/>
        <w:textAlignment w:val="baseline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-2"/>
          <w:lang w:val="en-US" w:eastAsia="zh-CN"/>
        </w:rPr>
        <w:t>6</w:t>
      </w:r>
      <w:r>
        <w:rPr>
          <w:rFonts w:hint="eastAsia" w:ascii="仿宋" w:hAnsi="仿宋" w:eastAsia="仿宋" w:cs="仿宋"/>
          <w:spacing w:val="-2"/>
        </w:rPr>
        <w:t>、国土空间安全与防灾减灾</w:t>
      </w:r>
    </w:p>
    <w:p w14:paraId="3460ED3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en-US"/>
        </w:rPr>
      </w:pPr>
      <w:r>
        <w:rPr>
          <w:rFonts w:hint="eastAsia" w:ascii="仿宋" w:hAnsi="仿宋" w:eastAsia="仿宋" w:cs="仿宋"/>
          <w:spacing w:val="6"/>
          <w:lang w:val="en-US" w:eastAsia="en-US"/>
        </w:rPr>
        <w:t>结合上位规划和相关专项规划，建设防洪排涝、水源安全保障体系，完善农田水利配套等水利基础设施，推动能源供应低碳转型，积极构建低</w:t>
      </w:r>
      <w:r>
        <w:rPr>
          <w:rFonts w:hint="eastAsia" w:cs="仿宋"/>
          <w:spacing w:val="6"/>
          <w:lang w:val="en-US" w:eastAsia="zh-CN"/>
        </w:rPr>
        <w:t>碳</w:t>
      </w:r>
      <w:r>
        <w:rPr>
          <w:rFonts w:hint="eastAsia" w:ascii="仿宋" w:hAnsi="仿宋" w:eastAsia="仿宋" w:cs="仿宋"/>
          <w:spacing w:val="6"/>
          <w:lang w:val="en-US" w:eastAsia="en-US"/>
        </w:rPr>
        <w:t>能源体系。加强综合防灾规划体系建设，明确防洪排涝、抗震、消防、人防、防疫等防灾设施标准与措施。</w:t>
      </w:r>
    </w:p>
    <w:p w14:paraId="38476EC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77"/>
        <w:textAlignment w:val="baseline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spacing w:val="-2"/>
          <w:lang w:val="en-US" w:eastAsia="zh-CN"/>
        </w:rPr>
        <w:t>7</w:t>
      </w:r>
      <w:r>
        <w:rPr>
          <w:rFonts w:hint="eastAsia" w:ascii="仿宋" w:hAnsi="仿宋" w:eastAsia="仿宋" w:cs="仿宋"/>
          <w:spacing w:val="-2"/>
        </w:rPr>
        <w:t>、</w:t>
      </w:r>
      <w:r>
        <w:rPr>
          <w:rFonts w:hint="eastAsia" w:ascii="仿宋" w:hAnsi="仿宋" w:eastAsia="仿宋" w:cs="仿宋"/>
          <w:spacing w:val="-2"/>
          <w:lang w:eastAsia="zh-CN"/>
        </w:rPr>
        <w:t>历史文化保护与利用</w:t>
      </w:r>
    </w:p>
    <w:p w14:paraId="49A4B6D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zh-CN"/>
        </w:rPr>
      </w:pPr>
      <w:r>
        <w:rPr>
          <w:rFonts w:hint="eastAsia" w:ascii="仿宋" w:hAnsi="仿宋" w:eastAsia="仿宋" w:cs="仿宋"/>
          <w:spacing w:val="6"/>
          <w:lang w:val="en-US" w:eastAsia="en-US"/>
        </w:rPr>
        <w:t>落实55处历史文化遗产资源保护，包括2处市级文物保护单位（船形山周氏家族墓地、张祚任夫妇合葬墓）、3处县级文物保护单位（师古寨编铙遗址、刘家湾古文化遗址、张镗墓）及50处一般不可移动文物；保护非物质文化遗产“唐市金银首饰加工技艺”，推动文化与旅游融合发展。</w:t>
      </w:r>
    </w:p>
    <w:p w14:paraId="027EFAC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7" w:line="560" w:lineRule="exact"/>
        <w:ind w:left="18" w:firstLine="619" w:firstLineChars="200"/>
        <w:textAlignment w:val="baseline"/>
        <w:rPr>
          <w:rFonts w:hint="eastAsia" w:ascii="宋体" w:hAnsi="宋体" w:eastAsia="宋体" w:cs="宋体"/>
          <w:b/>
          <w:bCs/>
          <w:spacing w:val="-6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pacing w:val="-6"/>
          <w:sz w:val="32"/>
          <w:szCs w:val="32"/>
          <w:lang w:val="en-US" w:eastAsia="zh-CN"/>
        </w:rPr>
        <w:t>五、</w:t>
      </w:r>
      <w:r>
        <w:rPr>
          <w:rFonts w:hint="eastAsia" w:ascii="宋体" w:hAnsi="宋体" w:eastAsia="宋体" w:cs="宋体"/>
          <w:b/>
          <w:bCs/>
          <w:spacing w:val="-6"/>
          <w:sz w:val="32"/>
          <w:szCs w:val="32"/>
          <w:lang w:eastAsia="zh-CN"/>
        </w:rPr>
        <w:t>风貌管控要求</w:t>
      </w:r>
    </w:p>
    <w:p w14:paraId="4CCB6A5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zh-CN"/>
        </w:rPr>
      </w:pPr>
      <w:r>
        <w:rPr>
          <w:rFonts w:hint="eastAsia" w:cs="仿宋"/>
          <w:spacing w:val="6"/>
          <w:lang w:val="en-US" w:eastAsia="zh-CN"/>
        </w:rPr>
        <w:t>1、</w:t>
      </w:r>
      <w:r>
        <w:rPr>
          <w:rFonts w:hint="default" w:ascii="仿宋" w:hAnsi="仿宋" w:eastAsia="仿宋" w:cs="仿宋"/>
          <w:spacing w:val="6"/>
          <w:lang w:val="en-US" w:eastAsia="zh-CN"/>
        </w:rPr>
        <w:t>总体风貌定位</w:t>
      </w:r>
    </w:p>
    <w:p w14:paraId="749BF60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default" w:ascii="仿宋" w:hAnsi="仿宋" w:eastAsia="仿宋" w:cs="仿宋"/>
          <w:spacing w:val="6"/>
          <w:lang w:val="en-US" w:eastAsia="zh-CN"/>
        </w:rPr>
      </w:pPr>
      <w:r>
        <w:rPr>
          <w:rFonts w:hint="default" w:ascii="仿宋" w:hAnsi="仿宋" w:eastAsia="仿宋" w:cs="仿宋"/>
          <w:spacing w:val="6"/>
          <w:lang w:val="en-US" w:eastAsia="zh-CN"/>
        </w:rPr>
        <w:t>确定老粮仓镇整体风貌定位为“生态田园，富庶金仓”。</w:t>
      </w:r>
    </w:p>
    <w:p w14:paraId="53B8D8E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default" w:ascii="仿宋" w:hAnsi="仿宋" w:eastAsia="仿宋" w:cs="仿宋"/>
          <w:spacing w:val="6"/>
          <w:lang w:val="en-US" w:eastAsia="zh-CN"/>
        </w:rPr>
      </w:pPr>
      <w:r>
        <w:rPr>
          <w:rFonts w:hint="eastAsia" w:cs="仿宋"/>
          <w:spacing w:val="6"/>
          <w:lang w:val="en-US" w:eastAsia="zh-CN"/>
        </w:rPr>
        <w:t>2、</w:t>
      </w:r>
      <w:r>
        <w:rPr>
          <w:rFonts w:hint="default" w:ascii="仿宋" w:hAnsi="仿宋" w:eastAsia="仿宋" w:cs="仿宋"/>
          <w:spacing w:val="6"/>
          <w:lang w:val="en-US" w:eastAsia="zh-CN"/>
        </w:rPr>
        <w:t>重点管控区</w:t>
      </w:r>
    </w:p>
    <w:p w14:paraId="310B034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default" w:ascii="仿宋" w:hAnsi="仿宋" w:eastAsia="仿宋" w:cs="仿宋"/>
          <w:spacing w:val="6"/>
          <w:lang w:val="en-US" w:eastAsia="zh-CN"/>
        </w:rPr>
      </w:pPr>
      <w:r>
        <w:rPr>
          <w:rFonts w:hint="default" w:ascii="仿宋" w:hAnsi="仿宋" w:eastAsia="仿宋" w:cs="仿宋"/>
          <w:spacing w:val="6"/>
          <w:lang w:val="en-US" w:eastAsia="zh-CN"/>
        </w:rPr>
        <w:t>村民集中建设点及美丽屋场区域为重点风貌管控区，建筑风格以民居风格为主（红顶、白粉墙、坡屋顶、木栏花窗），建筑朝向背山林、面水库，高度以3层以下小体量建筑为主，色彩以砖红、白、棕灰色调为主。</w:t>
      </w:r>
    </w:p>
    <w:p w14:paraId="390A1DF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default" w:ascii="仿宋" w:hAnsi="仿宋" w:eastAsia="仿宋" w:cs="仿宋"/>
          <w:spacing w:val="6"/>
          <w:lang w:val="en-US" w:eastAsia="zh-CN"/>
        </w:rPr>
      </w:pPr>
      <w:r>
        <w:rPr>
          <w:rFonts w:hint="eastAsia" w:cs="仿宋"/>
          <w:spacing w:val="6"/>
          <w:lang w:val="en-US" w:eastAsia="zh-CN"/>
        </w:rPr>
        <w:t>3、</w:t>
      </w:r>
      <w:r>
        <w:rPr>
          <w:rFonts w:hint="default" w:ascii="仿宋" w:hAnsi="仿宋" w:eastAsia="仿宋" w:cs="仿宋"/>
          <w:spacing w:val="6"/>
          <w:lang w:val="en-US" w:eastAsia="zh-CN"/>
        </w:rPr>
        <w:t>景观廊道</w:t>
      </w:r>
    </w:p>
    <w:p w14:paraId="06754A6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zh-CN"/>
        </w:rPr>
      </w:pPr>
      <w:r>
        <w:rPr>
          <w:rFonts w:hint="default" w:ascii="仿宋" w:hAnsi="仿宋" w:eastAsia="仿宋" w:cs="仿宋"/>
          <w:spacing w:val="6"/>
          <w:lang w:val="en-US" w:eastAsia="zh-CN"/>
        </w:rPr>
        <w:t>生态景观廊道：老粮镇区以排头山、楚江“一楔、一带”形成十字形生态景观廊道；唐市镇区</w:t>
      </w:r>
      <w:r>
        <w:rPr>
          <w:rFonts w:hint="eastAsia" w:cs="仿宋"/>
          <w:spacing w:val="6"/>
          <w:lang w:val="en-US" w:eastAsia="zh-CN"/>
        </w:rPr>
        <w:t>周边</w:t>
      </w:r>
      <w:r>
        <w:rPr>
          <w:rFonts w:hint="default" w:ascii="仿宋" w:hAnsi="仿宋" w:eastAsia="仿宋" w:cs="仿宋"/>
          <w:spacing w:val="6"/>
          <w:lang w:val="en-US" w:eastAsia="zh-CN"/>
        </w:rPr>
        <w:t>耕地、林地、南部楚江形成南北向生态景观廊道。</w:t>
      </w:r>
    </w:p>
    <w:p w14:paraId="6BA80AC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eastAsia="仿宋"/>
          <w:spacing w:val="6"/>
          <w:lang w:val="en-US" w:eastAsia="zh-CN"/>
        </w:rPr>
      </w:pPr>
      <w:r>
        <w:rPr>
          <w:rFonts w:hint="default" w:ascii="仿宋" w:hAnsi="仿宋" w:eastAsia="仿宋" w:cs="仿宋"/>
          <w:spacing w:val="6"/>
          <w:lang w:val="en-US" w:eastAsia="zh-CN"/>
        </w:rPr>
        <w:t>道路景观廊道：G234国道两侧、楚江河两岸等区域为重要景观廊道，控制开发强度，保持自然田园风格。</w:t>
      </w:r>
    </w:p>
    <w:p w14:paraId="7221587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7" w:line="560" w:lineRule="exact"/>
        <w:ind w:left="18" w:firstLine="619" w:firstLineChars="200"/>
        <w:textAlignment w:val="baseline"/>
        <w:rPr>
          <w:rFonts w:hint="eastAsia" w:ascii="宋体" w:hAnsi="宋体" w:eastAsia="宋体" w:cs="宋体"/>
          <w:b/>
          <w:bCs/>
          <w:spacing w:val="-6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pacing w:val="-6"/>
          <w:sz w:val="32"/>
          <w:szCs w:val="32"/>
          <w:lang w:eastAsia="zh-CN"/>
        </w:rPr>
        <w:t>六、规划传导与实施保障</w:t>
      </w:r>
    </w:p>
    <w:p w14:paraId="5918149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3" w:line="560" w:lineRule="exact"/>
        <w:ind w:left="691"/>
        <w:textAlignment w:val="baseline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-5"/>
        </w:rPr>
        <w:t>1、详细规划传导</w:t>
      </w:r>
    </w:p>
    <w:p w14:paraId="278B466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en-US"/>
        </w:rPr>
      </w:pPr>
      <w:r>
        <w:rPr>
          <w:rFonts w:hint="eastAsia" w:ascii="仿宋" w:hAnsi="仿宋" w:eastAsia="仿宋" w:cs="仿宋"/>
          <w:spacing w:val="6"/>
          <w:lang w:val="en-US" w:eastAsia="en-US"/>
        </w:rPr>
        <w:t>按照全域覆盖、边界闭合原则，全域划分为12个详细规划编制单元，包括2个城镇单元、10个乡村单元。</w:t>
      </w:r>
    </w:p>
    <w:p w14:paraId="2A0D6BE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zh-CN"/>
        </w:rPr>
      </w:pPr>
      <w:r>
        <w:rPr>
          <w:rFonts w:hint="eastAsia" w:ascii="仿宋" w:hAnsi="仿宋" w:eastAsia="仿宋" w:cs="仿宋"/>
          <w:spacing w:val="6"/>
          <w:lang w:val="en-US" w:eastAsia="en-US"/>
        </w:rPr>
        <w:t>2</w:t>
      </w:r>
      <w:r>
        <w:rPr>
          <w:rFonts w:hint="eastAsia" w:ascii="仿宋" w:hAnsi="仿宋" w:eastAsia="仿宋" w:cs="仿宋"/>
          <w:spacing w:val="6"/>
          <w:lang w:val="en-US" w:eastAsia="zh-CN"/>
        </w:rPr>
        <w:t>、村庄规划指引</w:t>
      </w:r>
    </w:p>
    <w:p w14:paraId="1E2F8F3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default" w:ascii="仿宋" w:hAnsi="仿宋" w:eastAsia="仿宋" w:cs="仿宋"/>
          <w:spacing w:val="6"/>
          <w:lang w:val="en-US" w:eastAsia="zh-CN"/>
        </w:rPr>
      </w:pPr>
      <w:r>
        <w:rPr>
          <w:rFonts w:hint="default" w:ascii="仿宋" w:hAnsi="仿宋" w:eastAsia="仿宋" w:cs="仿宋"/>
          <w:spacing w:val="6"/>
          <w:lang w:val="en-US" w:eastAsia="zh-CN"/>
        </w:rPr>
        <w:t>结合村镇实际情况，确定老粮社区、唐市社区为城郊融合型村庄，毛公桥村、长田村、双藕村、金洪村、星石村为集聚提升类村庄，望江村为生态保护类村庄，回春堂村、江花村为农业发展型村庄。</w:t>
      </w:r>
    </w:p>
    <w:p w14:paraId="7B5D875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zh-CN"/>
        </w:rPr>
      </w:pPr>
      <w:r>
        <w:rPr>
          <w:rFonts w:hint="eastAsia" w:ascii="仿宋" w:hAnsi="仿宋" w:eastAsia="仿宋" w:cs="仿宋"/>
          <w:spacing w:val="6"/>
          <w:lang w:val="en-US" w:eastAsia="zh-CN"/>
        </w:rPr>
        <w:t>3、规划实施保障</w:t>
      </w:r>
    </w:p>
    <w:p w14:paraId="65915E2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60" w:lineRule="exact"/>
        <w:ind w:left="44" w:right="102" w:firstLine="617"/>
        <w:textAlignment w:val="baseline"/>
        <w:rPr>
          <w:rFonts w:hint="eastAsia" w:ascii="仿宋" w:hAnsi="仿宋" w:eastAsia="仿宋" w:cs="仿宋"/>
          <w:spacing w:val="6"/>
          <w:lang w:val="en-US" w:eastAsia="en-US"/>
        </w:rPr>
      </w:pPr>
      <w:r>
        <w:rPr>
          <w:rFonts w:hint="eastAsia" w:ascii="仿宋" w:hAnsi="仿宋" w:eastAsia="仿宋" w:cs="仿宋"/>
          <w:spacing w:val="6"/>
          <w:lang w:val="en-US" w:eastAsia="en-US"/>
        </w:rPr>
        <w:t>依据乡镇级规划数据库建设标准和数据汇交要求，形成乡镇级规划数据库，纳入国土空间基础信息平台和国土空间规划“一张图”实施监督信息系统，定期开展规划实施评估，对比计划进度与实际进度形成综合考核，完善各项监督机制，确保各项工作落到实处。</w:t>
      </w:r>
    </w:p>
    <w:p w14:paraId="00335CFE">
      <w:pPr>
        <w:pStyle w:val="3"/>
        <w:ind w:left="0" w:leftChars="0" w:firstLine="0" w:firstLineChars="0"/>
        <w:rPr>
          <w:rFonts w:hint="eastAsia" w:eastAsia="仿宋"/>
          <w:lang w:eastAsia="zh-CN"/>
        </w:rPr>
      </w:pPr>
    </w:p>
    <w:p w14:paraId="6BD852C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472430" cy="3872230"/>
            <wp:effectExtent l="0" t="0" r="13970" b="13970"/>
            <wp:docPr id="4" name="图片 4" descr="430182111老粮仓镇02国土空间总体格局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30182111老粮仓镇02国土空间总体格局规划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72430" cy="387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9CB62">
      <w:pPr>
        <w:pStyle w:val="2"/>
        <w:rPr>
          <w:rFonts w:hint="eastAsia"/>
          <w:lang w:eastAsia="zh-CN"/>
        </w:rPr>
      </w:pPr>
    </w:p>
    <w:p w14:paraId="38493898">
      <w:pPr>
        <w:pStyle w:val="3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472430" cy="3872230"/>
            <wp:effectExtent l="0" t="0" r="635" b="3175"/>
            <wp:docPr id="2" name="图片 2" descr="5.国土空间规划分区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.国土空间规划分区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2430" cy="387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5472430" cy="3872230"/>
            <wp:effectExtent l="0" t="0" r="13970" b="13970"/>
            <wp:docPr id="8" name="图片 8" descr="430182111老粮仓镇03国土空间控制线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30182111老粮仓镇03国土空间控制线规划图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72430" cy="387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C21B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472430" cy="3872230"/>
            <wp:effectExtent l="0" t="0" r="13970" b="13970"/>
            <wp:docPr id="9" name="图片 9" descr="430182111老粮仓镇10村庄布点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430182111老粮仓镇10村庄布点规划图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72430" cy="387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17FA0">
      <w:pPr>
        <w:pStyle w:val="2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472430" cy="3872230"/>
            <wp:effectExtent l="0" t="0" r="13970" b="13970"/>
            <wp:docPr id="10" name="图片 10" descr="430182111老粮仓镇12综合交通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430182111老粮仓镇12综合交通规划图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72430" cy="387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C4276">
      <w:pPr>
        <w:pStyle w:val="3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472430" cy="3872230"/>
            <wp:effectExtent l="0" t="0" r="13970" b="13970"/>
            <wp:docPr id="11" name="图片 11" descr="430182111老粮仓镇14综合防灾减灾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430182111老粮仓镇14综合防灾减灾规划图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72430" cy="387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DEBB6B"/>
    <w:multiLevelType w:val="singleLevel"/>
    <w:tmpl w:val="B2DEBB6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1MTkwN2YxNGUzM2QzOGZhNTkyMTM0YTBkYjhmNDgifQ=="/>
  </w:docVars>
  <w:rsids>
    <w:rsidRoot w:val="7B193A1E"/>
    <w:rsid w:val="01D71EA2"/>
    <w:rsid w:val="058846C4"/>
    <w:rsid w:val="05B953E0"/>
    <w:rsid w:val="1A595DA5"/>
    <w:rsid w:val="235761D1"/>
    <w:rsid w:val="2AAE516B"/>
    <w:rsid w:val="3B9C3C56"/>
    <w:rsid w:val="3E044ADB"/>
    <w:rsid w:val="46DA2409"/>
    <w:rsid w:val="4DCE6A68"/>
    <w:rsid w:val="5EF1038A"/>
    <w:rsid w:val="63632341"/>
    <w:rsid w:val="64E573F1"/>
    <w:rsid w:val="6C9A411D"/>
    <w:rsid w:val="6FDA1311"/>
    <w:rsid w:val="72DB5049"/>
    <w:rsid w:val="73551AB6"/>
    <w:rsid w:val="74371BBB"/>
    <w:rsid w:val="78726673"/>
    <w:rsid w:val="7B19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3">
    <w:name w:val="toc 5"/>
    <w:basedOn w:val="1"/>
    <w:next w:val="1"/>
    <w:unhideWhenUsed/>
    <w:qFormat/>
    <w:uiPriority w:val="39"/>
    <w:pPr>
      <w:ind w:left="1120"/>
      <w:jc w:val="left"/>
    </w:pPr>
    <w:rPr>
      <w:rFonts w:cstheme="minorHAnsi"/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2925</Words>
  <Characters>3091</Characters>
  <Lines>0</Lines>
  <Paragraphs>0</Paragraphs>
  <TotalTime>22</TotalTime>
  <ScaleCrop>false</ScaleCrop>
  <LinksUpToDate>false</LinksUpToDate>
  <CharactersWithSpaces>3091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2025-07-18T03:45:00Z</dcterms:created>
  <dc:creator>Administrator</dc:creator>
  <cp:lastModifiedBy>思怡</cp:lastModifiedBy>
  <cp:lastPrinted>2025-07-18T04:17:00Z</cp:lastPrinted>
  <dcterms:modified xsi:type="dcterms:W3CDTF">2025-07-23T10:48:05Z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0627AEA0C907431890CEF721A0EE23D8_13</vt:lpwstr>
  </property>
  <property fmtid="{D5CDD505-2E9C-101B-9397-08002B2CF9AE}" pid="4" name="KSOTemplateDocerSaveRecord">
    <vt:lpwstr>eyJoZGlkIjoiYzkwNWE3YmNjZDBmMjlkMjA5ZWNhYjZkNzQxZGExNWUiLCJ1c2VySWQiOiIzMTM4MzU4MTMifQ==</vt:lpwstr>
  </property>
</Properties>
</file>