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2022年度部门整体支出绩效评价报告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为搞好202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部门整体支出绩效自评工作，提高财政资金使用效益，根据《宁乡市财政局关于印发〈宁乡市全面实施预算绩效管理的实施办法〉的通知》和预算绩效管理的要求，结合实际，我镇组织开展了绩效评价工作，经过对业务资料、财务资料和统计数据的分析，对部门整体支出“预算执行和管理”的合法合规性、完整性，履职效益等方面进行分析计算，认真详细检查基本支出、有关账目，收集整理了支出相关资料进行分析、总结，现将我单位整体支出绩效自评结果报告如下：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Times New Roman" w:hAnsi="Times New Roman" w:eastAsia="黑体"/>
          <w:bCs/>
          <w:sz w:val="32"/>
          <w:szCs w:val="32"/>
        </w:rPr>
      </w:pPr>
      <w:r>
        <w:rPr>
          <w:rFonts w:hint="eastAsia" w:ascii="Times New Roman" w:hAnsi="Times New Roman" w:eastAsia="黑体"/>
          <w:bCs/>
          <w:sz w:val="32"/>
          <w:szCs w:val="32"/>
        </w:rPr>
        <w:t>一、基本概况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（一）主要职责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巷子口镇党委、政府领导本地区经济、政治、文化、社会、生态文明建设等各项工作和基层社会治理；镇政府依法行使政府管理和服务职能。主要职责是：加强党的建设。落实基层党建工作责任制，严格抓好基层党组织建设各项制度，统筹抓好基层党建工作。加强公共管理。推进区域发展，全面实施乡村振兴战略，统筹落实辖区发展的重大决策和建设规划。实施综合管理，落实辖区内集镇管理、人口管理、社会管理、经济发展、综合执法、市场监管、生态环境保护、公共服务等工作，承担组织领导、推进实施、综合协调等职责。加强公共安全。负责辖区公共安全及安全生产监管，构建公共安全防控体系，建立应对突发事件的处理预案，做好安全生产、防汛、防火、防疫、气象灾害防御、食品药品安全等应急管理工作。承担辖区法治乡村、平安乡村创建和社会治安综合治理工作，及时化解辖区矛盾，确保社会稳定。加强公共服务。组织实施与群众生活密切相关相关的各项公共服务，落实人力资源和社会保障、民政、教育、文化、体育、卫生健康等方面相关政策。完成法律、法规、规章规定的其他事项，完成上级交办的其他事项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（二）机构设置及人员情况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我镇位于宁乡市最西部，属山地丘陵地貌，镇域面积105.8平方公里，共辖10个村（社区）、153个居民小组，乡镇总人口4.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</w:rPr>
        <w:t>万人。巷子口镇人民政府内设机构包括：二中心一所一执法队一机关，即镇农业综合管理服务中心、社会事业综合服务中心、司法所、行政综合执法大队、政府机关构成。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（三）人员情况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2022年巷子口镇共有在职人员85人，其中政府机关26人（含财政所2人），司法所1人，社会事务综合服务中心12人，农业服务中心44人，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综合</w:t>
      </w:r>
      <w:r>
        <w:rPr>
          <w:rFonts w:hint="eastAsia" w:ascii="仿宋_GB2312" w:hAnsi="仿宋_GB2312" w:eastAsia="仿宋_GB2312" w:cs="仿宋_GB2312"/>
          <w:sz w:val="32"/>
          <w:szCs w:val="32"/>
        </w:rPr>
        <w:t>执法大队2人。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（四）部门整体支出总体支出情况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2022年度收入合计9953.45万元, 支出合计9953.45万元，其中：基本支出2144.15万元，占21.54%，系为保障单位机构正常运转、完成日常工作任务而发生的各项支出，包 括用于基本工资、津贴补贴等人员经费以及办公费、邮电费等日常公用经费;项目支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出</w:t>
      </w:r>
      <w:r>
        <w:rPr>
          <w:rFonts w:hint="eastAsia" w:ascii="仿宋_GB2312" w:hAnsi="仿宋_GB2312" w:eastAsia="仿宋_GB2312" w:cs="仿宋_GB2312"/>
          <w:sz w:val="32"/>
          <w:szCs w:val="32"/>
        </w:rPr>
        <w:t>7809.3万元，占78.46%。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Times New Roman" w:hAnsi="Times New Roman" w:eastAsia="黑体"/>
          <w:bCs/>
          <w:sz w:val="32"/>
          <w:szCs w:val="32"/>
        </w:rPr>
      </w:pPr>
      <w:r>
        <w:rPr>
          <w:rFonts w:hint="eastAsia" w:ascii="Times New Roman" w:hAnsi="Times New Roman" w:eastAsia="黑体"/>
          <w:bCs/>
          <w:sz w:val="32"/>
          <w:szCs w:val="32"/>
        </w:rPr>
        <w:t>二、部门整体支出管理及使用情况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（一）基本支出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2022年度资金支出情况如下：基本支出2144.15元（人员经费1983.36万元，公用经费127.99）。2022年度“三公”经费财政拨款支出决算中，公务接待费支出决算8.26万元，占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68.1</w:t>
      </w:r>
      <w:r>
        <w:rPr>
          <w:rFonts w:hint="eastAsia" w:ascii="仿宋_GB2312" w:hAnsi="仿宋_GB2312" w:eastAsia="仿宋_GB2312" w:cs="仿宋_GB2312"/>
          <w:sz w:val="32"/>
          <w:szCs w:val="32"/>
        </w:rPr>
        <w:t>%,因公出国（境）费支出决算0万元，占0%,公务用车购置费及运行维护费支出决算3.87万元，占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31.9</w:t>
      </w:r>
      <w:r>
        <w:rPr>
          <w:rFonts w:hint="eastAsia" w:ascii="仿宋_GB2312" w:hAnsi="仿宋_GB2312" w:eastAsia="仿宋_GB2312" w:cs="仿宋_GB2312"/>
          <w:sz w:val="32"/>
          <w:szCs w:val="32"/>
        </w:rPr>
        <w:t>%。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镇三公经费严格按照年初预算以及各级部门相关要求，严把支出关，强化制度执行。切实做好厉行节约工作，全面落实各项管理制度要求，努力降低行政成本。严格公务接待费、差旅费、会议费和培训费审核审批程序，加强对公务用车的管理，实行限额把关、一支笔审批制度，做到一事一公函、一事一审批、一事一结账，会议费和培训费严格按年初计划和制度规定的标准执行。各项费用报账支出严格履行报账单“一单五签”程序，重大事项严格遵守：“三重一大”制度，“三公”经费较好地控制在预算范围之内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（二）项目支出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项目支出7809.3万元，其中基本建设类项目228.81万元。绩效总目标和阶段性目标都已按照计划完成，未逾期。所有开支均按照我单位财务管理制度执行，资金的使用严格把关。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Times New Roman" w:hAnsi="Times New Roman" w:eastAsia="黑体"/>
          <w:bCs/>
          <w:sz w:val="32"/>
          <w:szCs w:val="32"/>
        </w:rPr>
      </w:pPr>
      <w:r>
        <w:rPr>
          <w:rFonts w:hint="eastAsia" w:ascii="Times New Roman" w:hAnsi="Times New Roman" w:eastAsia="黑体"/>
          <w:bCs/>
          <w:sz w:val="32"/>
          <w:szCs w:val="32"/>
        </w:rPr>
        <w:t>三、资产管理情况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根据资产管理信息系统，2022年末资产合计21,906.88万元，流动资产2,875.36万元，较上年减少6.31%，占资产总额13.13%；固定资产444.48万元，较上年增长23.08%，占资产总额2.03%；在建工程5,489.92万元，较上年减少2.14%，占资产总额25.06%；公共基础设施13,097.13万元，占资产总额59.79%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土地、房屋及构筑物355.6万元，占固定资产的80.00%（其中，房屋355.6万元，占固定资产的80.00%）；设备71.36万元，占16.06%（其中，车辆6.48万元，占1.46%）；家具、用具17.52万元，占3.94%。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镇固定资产实行统一管理、统一调配，并按使用人建立了资产卡片管理台账，实行使用、保管签字登记制度。对单位固定资产统一采购、多人经办，每月月初根据各部门的需求制订采购计划，实行多方询价、“货比三家”，并按政府采购程序和有关规定加强采购手续。年底对财产物资进行清查、盘点、核对、处理。对取得的资产实物及时进行会计核算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Times New Roman" w:hAnsi="Times New Roman" w:eastAsia="黑体"/>
          <w:bCs/>
          <w:sz w:val="32"/>
          <w:szCs w:val="32"/>
        </w:rPr>
      </w:pPr>
      <w:r>
        <w:rPr>
          <w:rFonts w:hint="eastAsia" w:ascii="Times New Roman" w:hAnsi="Times New Roman" w:eastAsia="黑体"/>
          <w:bCs/>
          <w:sz w:val="32"/>
          <w:szCs w:val="32"/>
        </w:rPr>
        <w:t>四、部门整体支出绩效情况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年，我镇积极履职，强化管理，较好的完成了年度工作目标。通过加强预算收支管理，不断建立健全内部管理制度，梳理内部管理流程，整体支出管理水平得到提升。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</w:rPr>
      </w:pPr>
      <w:r>
        <w:rPr>
          <w:rFonts w:hint="default" w:ascii="仿宋_GB2312" w:hAnsi="仿宋_GB2312" w:eastAsia="仿宋_GB2312" w:cs="仿宋_GB2312"/>
          <w:sz w:val="32"/>
          <w:szCs w:val="32"/>
        </w:rPr>
        <w:t>（一）产出指标完成情况 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不断壮大“巷子花开”，产业振兴持续增效。助推“巷子花开”正式营业，集中力量、集聚资源，推动湖南巷子花开农业科技有限公司于6月份正式营业，促成公司与文旅投合作运营南轩文化园，</w:t>
      </w:r>
      <w:r>
        <w:rPr>
          <w:rFonts w:hint="eastAsia" w:ascii="仿宋_GB2312" w:hAnsi="仿宋_GB2312" w:eastAsia="仿宋_GB2312" w:cs="仿宋_GB2312"/>
          <w:sz w:val="32"/>
          <w:szCs w:val="32"/>
        </w:rPr>
        <w:t>接待各类党建、团建及研学活动80余次，服务1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</w:rPr>
        <w:t>000余人次，月均营收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超</w:t>
      </w:r>
      <w:r>
        <w:rPr>
          <w:rFonts w:hint="eastAsia" w:ascii="仿宋_GB2312" w:hAnsi="仿宋_GB2312" w:eastAsia="仿宋_GB2312" w:cs="仿宋_GB2312"/>
          <w:sz w:val="32"/>
          <w:szCs w:val="32"/>
        </w:rPr>
        <w:t>50万元，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带动</w:t>
      </w:r>
      <w:r>
        <w:rPr>
          <w:rFonts w:hint="eastAsia" w:ascii="仿宋_GB2312" w:hAnsi="仿宋_GB2312" w:eastAsia="仿宋_GB2312" w:cs="仿宋_GB2312"/>
          <w:sz w:val="32"/>
          <w:szCs w:val="32"/>
        </w:rPr>
        <w:t>6个村集体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经济收入达到</w:t>
      </w:r>
      <w:r>
        <w:rPr>
          <w:rFonts w:hint="eastAsia" w:ascii="仿宋_GB2312" w:hAnsi="仿宋_GB2312" w:eastAsia="仿宋_GB2312" w:cs="仿宋_GB2312"/>
          <w:sz w:val="32"/>
          <w:szCs w:val="32"/>
        </w:rPr>
        <w:t>30万元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4个村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突破</w:t>
      </w:r>
      <w:r>
        <w:rPr>
          <w:rFonts w:hint="eastAsia" w:ascii="仿宋_GB2312" w:hAnsi="仿宋_GB2312" w:eastAsia="仿宋_GB2312" w:cs="仿宋_GB2312"/>
          <w:sz w:val="32"/>
          <w:szCs w:val="32"/>
        </w:rPr>
        <w:t>50万元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。“巷子花开”集体经济振兴模式入选长沙市集体经济振兴典型案例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包装“巷子花开”特色产品，发挥湖南巷子花开农业科技有限公司的龙头作用，构建“公司+集体+合作社+农户”的利益联结机制，坚决守住粮食生产底线，鼓励农户和合作社种植早稻515亩、中稻28500余亩、油茶林120亩、小水果1250亩、烟叶263亩、莲花320亩、红薯230亩，中蜂养殖1800箱，将莲子、红薯粉、有机大米、黄桃、李子、腊肉、茶油、蜂蜜等特色农副产品，统一“巷子花开”品牌，统一销售价格，集中对外销售，累计销售黄桃120万斤，销售额超1000万元，销售其他农副产品300万元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（二）效益指标完成情况 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稳步改善人居环境，乡村颜值持续增彩。一是高标准打造美丽宜居村庄，围绕“一村一重点产品”“一村一劳动基地”“一村一国学主题”思路，突出“五美”要求，统筹各级资金1500余万元，突出国学小镇特色，量力而行、因地制宜高标准打造了12个美丽宜居村庄，其中示范型3个，达标型9个，扶峰村、双河村两个劳动实践基地正式投入使用。二是高标准提质改造基础设施，依托黄鹤村、狮冲村村级主干道，打造了5700余米“彩虹公路”，完成农村公路安防工程23.5公里，新建产业路10公里、提质改造公路20余公里，维修加固桥梁5座。同时推进农田水利基础设施提质建设，打造深水井6口，完成334亩耕地复垦，治理抛荒水田100余亩，整治5口山塘，修复渠道1条，加固河坝水闸1个，完成直田、狮冲4千亩高标准农田建设。三是高标准推进人居环境整治，坚决落实路、河、湖、林长制，组织“清四乱”25起，依法查处采石挖砂行为5起，除杂清污60余次。完成改厕100座，并实现验收合格率、群众满意率和接通率三个100%，完成公厕建设6座，并全部通过验收；教育引导群众精准落实垃圾分类减量，新增公共区域垃圾桶200个；从严查处焚烧秸秆行为50余起，制定“月度检查、交叉评比、季度讲评”考核奖惩机制，农村人居环境持续改善。</w:t>
      </w:r>
      <w:r>
        <w:rPr>
          <w:rFonts w:hint="eastAsia" w:ascii="仿宋_GB2312" w:hAnsi="仿宋_GB2312" w:eastAsia="仿宋_GB2312" w:cs="仿宋_GB2312"/>
          <w:sz w:val="32"/>
          <w:szCs w:val="32"/>
        </w:rPr>
        <w:t>狮冲村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获评长沙市生态文明建设示范村。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</w:rPr>
      </w:pPr>
      <w:r>
        <w:rPr>
          <w:rFonts w:hint="default" w:ascii="仿宋_GB2312" w:hAnsi="仿宋_GB2312" w:eastAsia="仿宋_GB2312" w:cs="仿宋_GB2312"/>
          <w:sz w:val="32"/>
          <w:szCs w:val="32"/>
        </w:rPr>
        <w:t>（三）满意度指标完成情况 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始终坚持人民至上，民生福祉持续增进。重点帮扶成效明显，坚决抓好巩固拓展脱贫攻坚成果同乡村振兴有效衔接各项任务，全面落实好各项帮扶政策，为全镇96户监测户量身制定帮扶计划。大力推进“爱心宁乡”工程，100户困难群众获得帮扶。完成危房改造18户，年度新增低保70户166人、五保32户33人、医保2435人。二是民生实事全面推进，坚持就业优先战略，争取乡友支持投入1200万元筹建“巷子花开乡村振兴人才基金”。助推状元农产品公司和巷子花开公司顺利开业，创造就业岗位150余个，举办创业培训班1期，培训30人，积极配合市人社局就业招聘，稳岗就业80余人。完成直田村公墓建设、千手爱心大屋提质改造、杨柳桥段河堤护砌、枫坪小学线路改造，新建学校公租房7所143套。建立未成年人保护四方联动方案，强力推进利剑护蕾行动。</w:t>
      </w:r>
      <w:r>
        <w:rPr>
          <w:rFonts w:hint="eastAsia" w:ascii="仿宋_GB2312" w:hAnsi="仿宋_GB2312" w:eastAsia="仿宋_GB2312" w:cs="仿宋_GB2312"/>
          <w:sz w:val="32"/>
          <w:szCs w:val="32"/>
        </w:rPr>
        <w:t>始终坚持民生为本，始终坚持发展成果惠及群众、造福群众、反馈人民，人民群众享有了更好的社会保障。群众满意度指标和可持续性指标均达标。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/>
        </w:rPr>
      </w:pPr>
      <w:bookmarkStart w:id="0" w:name="_GoBack"/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Times New Roman" w:hAnsi="Times New Roman" w:eastAsia="黑体"/>
          <w:bCs/>
          <w:sz w:val="32"/>
          <w:szCs w:val="32"/>
        </w:rPr>
      </w:pPr>
      <w:r>
        <w:rPr>
          <w:rFonts w:hint="eastAsia" w:ascii="Times New Roman" w:hAnsi="Times New Roman" w:eastAsia="黑体"/>
          <w:bCs/>
          <w:sz w:val="32"/>
          <w:szCs w:val="32"/>
        </w:rPr>
        <w:t>五、存在的主要问题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1.预算控制率有待降低。除政策性因素以外，由于部分临时、紧急或突发的工作任务导致年中追加预算。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2.专项资金少，资金压力大。针对我镇经济基础薄弱、资金压力大的现状，重点产业项目尚需进一步的加强。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Times New Roman" w:hAnsi="Times New Roman" w:eastAsia="黑体"/>
          <w:bCs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Times New Roman" w:hAnsi="Times New Roman" w:eastAsia="黑体"/>
          <w:bCs/>
          <w:sz w:val="32"/>
          <w:szCs w:val="32"/>
        </w:rPr>
      </w:pPr>
      <w:r>
        <w:rPr>
          <w:rFonts w:hint="eastAsia" w:ascii="Times New Roman" w:hAnsi="Times New Roman" w:eastAsia="黑体"/>
          <w:bCs/>
          <w:sz w:val="32"/>
          <w:szCs w:val="32"/>
        </w:rPr>
        <w:t>六、改进措施和有关建议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1、细化预算编制工作，认真做好预算的编制。进一步加强内设机构的预算管理意识，严格按照预算编制的相关制度和要求进行预算编制。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加强财务管理，严格财务审核。加强单位财务管理，健全单位财务管理制度体系，规范单位财务行为。在费用报账支付时，按照预算规定的费用项目和用途进行资金使用审核、财务严格核算，杜绝超支现象的发生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、完善资产管理，抓好“三公”经费控制。严格编制政府采购年初预算和计划，规范各类资产的购置审批制度、资产采购制度、使用管理制度、资产处置和报废审批制度、资产管理岗位职责制度等，加强单位内部的资产管理工作。严格控制“三公”经费的规模和比例，把关“三公”经费支出的审核、审批，杜绝挪用和挤占其他预算资金行为；进一步细化“三公”经费的管理，合理压缩“三公”经费支出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4、加强培训，特别是针对《预算法》、《行政事业单位会计制度》等学习培训，规范部门预算收支核算，切实提高部门预算收支管理水平。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00" w:firstLineChars="200"/>
        <w:jc w:val="right"/>
        <w:textAlignment w:val="auto"/>
        <w:rPr>
          <w:rFonts w:hint="eastAsia" w:ascii="宋体" w:hAnsi="宋体" w:cs="宋体"/>
          <w:color w:val="333333"/>
          <w:sz w:val="30"/>
          <w:szCs w:val="30"/>
        </w:rPr>
      </w:pP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00" w:firstLineChars="200"/>
        <w:jc w:val="right"/>
        <w:textAlignment w:val="auto"/>
        <w:rPr>
          <w:rFonts w:hint="eastAsia" w:ascii="宋体" w:hAnsi="宋体" w:cs="宋体"/>
          <w:color w:val="333333"/>
          <w:sz w:val="30"/>
          <w:szCs w:val="30"/>
        </w:rPr>
      </w:pP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00" w:firstLineChars="200"/>
        <w:jc w:val="right"/>
        <w:textAlignment w:val="auto"/>
        <w:rPr>
          <w:rFonts w:hint="eastAsia" w:ascii="宋体" w:hAnsi="宋体" w:cs="宋体"/>
          <w:color w:val="333333"/>
          <w:sz w:val="30"/>
          <w:szCs w:val="30"/>
        </w:rPr>
      </w:pP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right"/>
        <w:textAlignment w:val="auto"/>
        <w:rPr>
          <w:rFonts w:hint="eastAsia"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巷子口镇人民政府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right"/>
        <w:textAlignment w:val="auto"/>
        <w:rPr>
          <w:rFonts w:ascii="仿宋_GB2312" w:eastAsia="仿宋_GB2312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月20日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EzNzU1ZTU3NjJiYjNmMWEyYTU0ZjU0YmYxNTczODQifQ=="/>
  </w:docVars>
  <w:rsids>
    <w:rsidRoot w:val="001C67BE"/>
    <w:rsid w:val="0000108E"/>
    <w:rsid w:val="00062D4E"/>
    <w:rsid w:val="00067D49"/>
    <w:rsid w:val="00070B87"/>
    <w:rsid w:val="000B7155"/>
    <w:rsid w:val="000D6C40"/>
    <w:rsid w:val="001352B7"/>
    <w:rsid w:val="00153B51"/>
    <w:rsid w:val="001802A0"/>
    <w:rsid w:val="00197D00"/>
    <w:rsid w:val="001C67BE"/>
    <w:rsid w:val="00210578"/>
    <w:rsid w:val="00212E22"/>
    <w:rsid w:val="00226634"/>
    <w:rsid w:val="00274D3E"/>
    <w:rsid w:val="002C437A"/>
    <w:rsid w:val="002C6019"/>
    <w:rsid w:val="002E1F4E"/>
    <w:rsid w:val="003311FC"/>
    <w:rsid w:val="00347665"/>
    <w:rsid w:val="00357E64"/>
    <w:rsid w:val="0038520F"/>
    <w:rsid w:val="00394CEC"/>
    <w:rsid w:val="003B6EB6"/>
    <w:rsid w:val="003C387B"/>
    <w:rsid w:val="003F62AC"/>
    <w:rsid w:val="00415AB1"/>
    <w:rsid w:val="0043652F"/>
    <w:rsid w:val="00442F0A"/>
    <w:rsid w:val="0045447D"/>
    <w:rsid w:val="00475B4A"/>
    <w:rsid w:val="0048197D"/>
    <w:rsid w:val="004B64B9"/>
    <w:rsid w:val="00500F48"/>
    <w:rsid w:val="00515BAA"/>
    <w:rsid w:val="00522A66"/>
    <w:rsid w:val="00537739"/>
    <w:rsid w:val="00574037"/>
    <w:rsid w:val="00576127"/>
    <w:rsid w:val="005837BD"/>
    <w:rsid w:val="00596A74"/>
    <w:rsid w:val="005A769E"/>
    <w:rsid w:val="005B49B8"/>
    <w:rsid w:val="005D7B6F"/>
    <w:rsid w:val="005E3EC7"/>
    <w:rsid w:val="006136F9"/>
    <w:rsid w:val="00615091"/>
    <w:rsid w:val="00623361"/>
    <w:rsid w:val="006357D7"/>
    <w:rsid w:val="00641706"/>
    <w:rsid w:val="00643784"/>
    <w:rsid w:val="006727A6"/>
    <w:rsid w:val="006D4C24"/>
    <w:rsid w:val="006D7BF1"/>
    <w:rsid w:val="00715863"/>
    <w:rsid w:val="007401D4"/>
    <w:rsid w:val="00751677"/>
    <w:rsid w:val="00782760"/>
    <w:rsid w:val="007A20C0"/>
    <w:rsid w:val="007D54F2"/>
    <w:rsid w:val="00860903"/>
    <w:rsid w:val="0087398F"/>
    <w:rsid w:val="00880972"/>
    <w:rsid w:val="008A5779"/>
    <w:rsid w:val="0094042F"/>
    <w:rsid w:val="009431A0"/>
    <w:rsid w:val="00947A97"/>
    <w:rsid w:val="00947EDB"/>
    <w:rsid w:val="009560D5"/>
    <w:rsid w:val="0096669A"/>
    <w:rsid w:val="00985485"/>
    <w:rsid w:val="00987069"/>
    <w:rsid w:val="009A713F"/>
    <w:rsid w:val="009B2554"/>
    <w:rsid w:val="009C67C2"/>
    <w:rsid w:val="009E003A"/>
    <w:rsid w:val="00A13F2D"/>
    <w:rsid w:val="00A27A98"/>
    <w:rsid w:val="00AC2A65"/>
    <w:rsid w:val="00AD7303"/>
    <w:rsid w:val="00AD79AB"/>
    <w:rsid w:val="00AE7335"/>
    <w:rsid w:val="00AF0D5A"/>
    <w:rsid w:val="00B036C7"/>
    <w:rsid w:val="00B10897"/>
    <w:rsid w:val="00B341B2"/>
    <w:rsid w:val="00B84BC4"/>
    <w:rsid w:val="00BA73AC"/>
    <w:rsid w:val="00BC525C"/>
    <w:rsid w:val="00BD2D33"/>
    <w:rsid w:val="00C0096B"/>
    <w:rsid w:val="00C71048"/>
    <w:rsid w:val="00C92CDB"/>
    <w:rsid w:val="00CB5B5B"/>
    <w:rsid w:val="00CB623D"/>
    <w:rsid w:val="00CD5093"/>
    <w:rsid w:val="00CE0AA8"/>
    <w:rsid w:val="00CE7C43"/>
    <w:rsid w:val="00D13E1B"/>
    <w:rsid w:val="00D501E2"/>
    <w:rsid w:val="00D619F7"/>
    <w:rsid w:val="00D9741B"/>
    <w:rsid w:val="00DC239C"/>
    <w:rsid w:val="00E56AE6"/>
    <w:rsid w:val="00EE407F"/>
    <w:rsid w:val="00F26D3E"/>
    <w:rsid w:val="00F52167"/>
    <w:rsid w:val="00F633EF"/>
    <w:rsid w:val="00F63A80"/>
    <w:rsid w:val="00F91455"/>
    <w:rsid w:val="00FA0CB0"/>
    <w:rsid w:val="00FB2344"/>
    <w:rsid w:val="00FE00B9"/>
    <w:rsid w:val="00FE76AA"/>
    <w:rsid w:val="00FF7770"/>
    <w:rsid w:val="19307726"/>
    <w:rsid w:val="1DBA13AB"/>
    <w:rsid w:val="27DB3EDB"/>
    <w:rsid w:val="3B750477"/>
    <w:rsid w:val="3FBC625D"/>
    <w:rsid w:val="49865A31"/>
    <w:rsid w:val="4F300BD2"/>
    <w:rsid w:val="54BB039D"/>
    <w:rsid w:val="589435BA"/>
    <w:rsid w:val="61F34F99"/>
    <w:rsid w:val="67620E69"/>
    <w:rsid w:val="74373814"/>
    <w:rsid w:val="7507768A"/>
    <w:rsid w:val="7E4057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nhideWhenUsed="0" w:uiPriority="0" w:semiHidden="0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qFormat/>
    <w:uiPriority w:val="0"/>
    <w:pPr>
      <w:snapToGrid w:val="0"/>
      <w:jc w:val="left"/>
    </w:pPr>
    <w:rPr>
      <w:sz w:val="18"/>
      <w:szCs w:val="18"/>
    </w:rPr>
  </w:style>
  <w:style w:type="paragraph" w:styleId="3">
    <w:name w:val="Body Text"/>
    <w:basedOn w:val="1"/>
    <w:next w:val="1"/>
    <w:qFormat/>
    <w:uiPriority w:val="99"/>
    <w:pPr>
      <w:keepNext w:val="0"/>
      <w:keepLines w:val="0"/>
      <w:widowControl w:val="0"/>
      <w:suppressLineNumbers w:val="0"/>
      <w:adjustRightInd w:val="0"/>
      <w:snapToGrid w:val="0"/>
      <w:spacing w:before="0" w:beforeAutospacing="0" w:after="0" w:afterAutospacing="0" w:line="240" w:lineRule="atLeast"/>
      <w:ind w:left="0" w:right="0"/>
      <w:jc w:val="center"/>
    </w:pPr>
    <w:rPr>
      <w:rFonts w:hint="default" w:ascii="等线" w:hAnsi="等线" w:eastAsia="仿宋_GB2312" w:cs="Times New Roman"/>
      <w:kern w:val="2"/>
      <w:sz w:val="24"/>
      <w:szCs w:val="24"/>
      <w:lang w:val="en-US" w:eastAsia="zh-CN" w:bidi="ar"/>
    </w:rPr>
  </w:style>
  <w:style w:type="paragraph" w:styleId="4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ascii="Calibri" w:hAnsi="Calibri" w:eastAsia="宋体" w:cs="Times New Roman"/>
      <w:kern w:val="0"/>
      <w:sz w:val="24"/>
      <w:szCs w:val="24"/>
    </w:rPr>
  </w:style>
  <w:style w:type="character" w:styleId="9">
    <w:name w:val="Strong"/>
    <w:basedOn w:val="8"/>
    <w:qFormat/>
    <w:uiPriority w:val="0"/>
    <w:rPr>
      <w:b/>
    </w:rPr>
  </w:style>
  <w:style w:type="character" w:customStyle="1" w:styleId="10">
    <w:name w:val="页眉 Char"/>
    <w:basedOn w:val="8"/>
    <w:link w:val="5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4"/>
    <w:semiHidden/>
    <w:qFormat/>
    <w:uiPriority w:val="99"/>
    <w:rPr>
      <w:sz w:val="18"/>
      <w:szCs w:val="18"/>
    </w:rPr>
  </w:style>
  <w:style w:type="paragraph" w:customStyle="1" w:styleId="12">
    <w:name w:val="普通(网站) Char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2437</Words>
  <Characters>2666</Characters>
  <Lines>19</Lines>
  <Paragraphs>5</Paragraphs>
  <TotalTime>0</TotalTime>
  <ScaleCrop>false</ScaleCrop>
  <LinksUpToDate>false</LinksUpToDate>
  <CharactersWithSpaces>2668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2022-04-25T02:33:00Z</dcterms:created>
  <dc:creator>PC</dc:creator>
  <cp:lastModifiedBy>Administrator</cp:lastModifiedBy>
  <dcterms:modified xsi:type="dcterms:W3CDTF">2023-09-15T03:35:01Z</dcterms:modified>
  <cp:revision>164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76CFBC426C7844D689ADA96F512F828B_12</vt:lpwstr>
  </property>
</Properties>
</file>