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8" w:lineRule="exact"/>
        <w:jc w:val="center"/>
        <w:rPr>
          <w:rFonts w:eastAsia="仿宋_GB2312"/>
          <w:b/>
          <w:sz w:val="32"/>
          <w:szCs w:val="32"/>
        </w:rPr>
      </w:pPr>
    </w:p>
    <w:p>
      <w:pPr>
        <w:pStyle w:val="57"/>
        <w:rPr>
          <w:rFonts w:eastAsia="仿宋_GB2312"/>
          <w:b/>
          <w:color w:val="auto"/>
          <w:sz w:val="32"/>
          <w:szCs w:val="32"/>
        </w:rPr>
      </w:pPr>
    </w:p>
    <w:p>
      <w:pPr>
        <w:spacing w:line="568" w:lineRule="exact"/>
        <w:jc w:val="center"/>
        <w:rPr>
          <w:rFonts w:eastAsia="仿宋_GB2312"/>
          <w:b/>
          <w:sz w:val="32"/>
          <w:szCs w:val="32"/>
        </w:rPr>
      </w:pPr>
    </w:p>
    <w:p>
      <w:pPr>
        <w:spacing w:line="1000" w:lineRule="exact"/>
        <w:jc w:val="center"/>
        <w:rPr>
          <w:rFonts w:ascii="方正小标宋简体" w:hAnsi="方正小标宋简体" w:eastAsia="方正小标宋简体" w:cs="方正小标宋简体"/>
          <w:bCs/>
          <w:spacing w:val="-11"/>
          <w:w w:val="98"/>
          <w:sz w:val="58"/>
          <w:szCs w:val="58"/>
        </w:rPr>
      </w:pPr>
      <w:r>
        <w:rPr>
          <w:rFonts w:hint="eastAsia" w:ascii="方正小标宋简体" w:hAnsi="方正小标宋简体" w:eastAsia="方正小标宋简体" w:cs="方正小标宋简体"/>
          <w:bCs/>
          <w:spacing w:val="-11"/>
          <w:w w:val="98"/>
          <w:sz w:val="58"/>
          <w:szCs w:val="58"/>
        </w:rPr>
        <w:t>宁乡市“十四五”生态环境保护规划</w:t>
      </w:r>
    </w:p>
    <w:p>
      <w:pPr>
        <w:spacing w:line="1000" w:lineRule="exact"/>
        <w:jc w:val="center"/>
        <w:rPr>
          <w:rFonts w:ascii="方正小标宋简体" w:hAnsi="方正小标宋简体" w:eastAsia="方正小标宋简体" w:cs="方正小标宋简体"/>
          <w:bCs/>
          <w:spacing w:val="-11"/>
          <w:w w:val="98"/>
          <w:sz w:val="58"/>
          <w:szCs w:val="58"/>
        </w:rPr>
      </w:pPr>
      <w:r>
        <w:rPr>
          <w:rFonts w:hint="eastAsia" w:ascii="方正小标宋简体" w:hAnsi="方正小标宋简体" w:eastAsia="方正小标宋简体" w:cs="方正小标宋简体"/>
          <w:bCs/>
          <w:spacing w:val="-11"/>
          <w:w w:val="98"/>
          <w:sz w:val="58"/>
          <w:szCs w:val="58"/>
        </w:rPr>
        <w:t>（2021-2025年）</w:t>
      </w:r>
    </w:p>
    <w:p>
      <w:pPr>
        <w:pStyle w:val="57"/>
        <w:spacing w:line="240" w:lineRule="exact"/>
        <w:jc w:val="center"/>
        <w:rPr>
          <w:rFonts w:ascii="楷体_GB2312" w:hAnsi="楷体_GB2312" w:eastAsia="楷体_GB2312" w:cs="楷体_GB2312"/>
          <w:color w:val="auto"/>
          <w:sz w:val="44"/>
          <w:szCs w:val="44"/>
        </w:rPr>
      </w:pPr>
    </w:p>
    <w:p>
      <w:pPr>
        <w:pStyle w:val="57"/>
        <w:spacing w:before="156" w:beforeLines="50"/>
        <w:jc w:val="center"/>
        <w:rPr>
          <w:rFonts w:ascii="楷体_GB2312" w:hAnsi="楷体_GB2312" w:eastAsia="楷体_GB2312" w:cs="楷体_GB2312"/>
          <w:color w:val="auto"/>
          <w:sz w:val="44"/>
          <w:szCs w:val="44"/>
        </w:rPr>
      </w:pPr>
      <w:r>
        <w:rPr>
          <w:rFonts w:hint="eastAsia" w:ascii="楷体_GB2312" w:hAnsi="楷体_GB2312" w:eastAsia="楷体_GB2312" w:cs="楷体_GB2312"/>
          <w:color w:val="auto"/>
          <w:sz w:val="44"/>
          <w:szCs w:val="44"/>
        </w:rPr>
        <w:t>（</w:t>
      </w:r>
      <w:r>
        <w:rPr>
          <w:rFonts w:hint="eastAsia" w:ascii="楷体_GB2312" w:hAnsi="楷体_GB2312" w:eastAsia="楷体_GB2312" w:cs="楷体_GB2312"/>
          <w:color w:val="auto"/>
          <w:sz w:val="44"/>
          <w:szCs w:val="44"/>
          <w:lang w:eastAsia="zh-CN"/>
        </w:rPr>
        <w:t>公众意见征求</w:t>
      </w:r>
      <w:r>
        <w:rPr>
          <w:rFonts w:hint="eastAsia" w:ascii="楷体_GB2312" w:hAnsi="楷体_GB2312" w:eastAsia="楷体_GB2312" w:cs="楷体_GB2312"/>
          <w:color w:val="auto"/>
          <w:sz w:val="44"/>
          <w:szCs w:val="44"/>
        </w:rPr>
        <w:t>稿）</w:t>
      </w:r>
    </w:p>
    <w:p>
      <w:pPr>
        <w:spacing w:line="568" w:lineRule="exact"/>
        <w:jc w:val="center"/>
        <w:rPr>
          <w:rFonts w:eastAsia="仿宋_GB2312"/>
          <w:b/>
          <w:sz w:val="32"/>
          <w:szCs w:val="32"/>
        </w:rPr>
      </w:pPr>
    </w:p>
    <w:p>
      <w:pPr>
        <w:spacing w:line="568" w:lineRule="exact"/>
        <w:jc w:val="center"/>
        <w:rPr>
          <w:rFonts w:eastAsia="仿宋_GB2312"/>
          <w:b/>
          <w:sz w:val="32"/>
          <w:szCs w:val="32"/>
        </w:rPr>
      </w:pPr>
    </w:p>
    <w:p>
      <w:pPr>
        <w:spacing w:line="568" w:lineRule="exact"/>
        <w:ind w:firstLine="560"/>
        <w:rPr>
          <w:rFonts w:eastAsia="仿宋_GB2312"/>
          <w:sz w:val="32"/>
          <w:szCs w:val="32"/>
        </w:rPr>
      </w:pPr>
    </w:p>
    <w:p>
      <w:pPr>
        <w:spacing w:line="568" w:lineRule="exact"/>
        <w:ind w:firstLine="560"/>
        <w:rPr>
          <w:rFonts w:eastAsia="仿宋_GB2312"/>
          <w:sz w:val="32"/>
          <w:szCs w:val="32"/>
        </w:rPr>
      </w:pPr>
    </w:p>
    <w:p>
      <w:pPr>
        <w:spacing w:line="568" w:lineRule="exact"/>
        <w:ind w:firstLine="560"/>
        <w:rPr>
          <w:rFonts w:eastAsia="仿宋_GB2312"/>
          <w:sz w:val="32"/>
          <w:szCs w:val="32"/>
        </w:rPr>
      </w:pPr>
    </w:p>
    <w:p>
      <w:pPr>
        <w:pStyle w:val="30"/>
        <w:spacing w:line="568" w:lineRule="exact"/>
        <w:ind w:firstLine="640"/>
        <w:rPr>
          <w:rFonts w:eastAsia="仿宋_GB2312"/>
          <w:sz w:val="32"/>
          <w:szCs w:val="32"/>
        </w:rPr>
      </w:pPr>
    </w:p>
    <w:p>
      <w:pPr>
        <w:rPr>
          <w:rFonts w:eastAsia="仿宋_GB2312"/>
          <w:sz w:val="32"/>
          <w:szCs w:val="32"/>
        </w:rPr>
      </w:pPr>
    </w:p>
    <w:p>
      <w:pPr>
        <w:pStyle w:val="57"/>
        <w:rPr>
          <w:rFonts w:eastAsia="仿宋_GB2312"/>
          <w:color w:val="auto"/>
          <w:sz w:val="32"/>
          <w:szCs w:val="32"/>
        </w:rPr>
      </w:pPr>
    </w:p>
    <w:p>
      <w:pPr>
        <w:spacing w:line="568" w:lineRule="exact"/>
        <w:ind w:firstLine="560"/>
        <w:rPr>
          <w:rFonts w:eastAsia="仿宋_GB2312"/>
          <w:sz w:val="32"/>
          <w:szCs w:val="32"/>
        </w:rPr>
      </w:pPr>
    </w:p>
    <w:p>
      <w:pPr>
        <w:spacing w:before="312" w:beforeLines="100" w:line="568" w:lineRule="exact"/>
        <w:jc w:val="center"/>
        <w:rPr>
          <w:rFonts w:eastAsia="楷体_GB2312"/>
          <w:b/>
          <w:sz w:val="44"/>
          <w:szCs w:val="44"/>
        </w:rPr>
      </w:pPr>
      <w:r>
        <w:rPr>
          <w:rFonts w:hint="eastAsia" w:eastAsia="楷体_GB2312"/>
          <w:b/>
          <w:sz w:val="44"/>
          <w:szCs w:val="44"/>
        </w:rPr>
        <w:t>宁乡市人民政府</w:t>
      </w:r>
    </w:p>
    <w:p>
      <w:pPr>
        <w:spacing w:before="312" w:beforeLines="100" w:line="568" w:lineRule="exact"/>
        <w:jc w:val="center"/>
        <w:rPr>
          <w:rFonts w:ascii="方正小标宋简体" w:hAnsi="方正小标宋简体" w:eastAsia="方正小标宋简体" w:cs="方正小标宋简体"/>
          <w:bCs/>
          <w:sz w:val="44"/>
          <w:szCs w:val="44"/>
        </w:rPr>
        <w:sectPr>
          <w:headerReference r:id="rId3" w:type="default"/>
          <w:footerReference r:id="rId4" w:type="default"/>
          <w:pgSz w:w="11906" w:h="16838"/>
          <w:pgMar w:top="1723" w:right="1519" w:bottom="1553" w:left="1519" w:header="851" w:footer="992" w:gutter="0"/>
          <w:pgNumType w:fmt="numberInDash" w:start="1"/>
          <w:cols w:space="720" w:num="1"/>
          <w:docGrid w:type="lines" w:linePitch="312" w:charSpace="0"/>
        </w:sectPr>
      </w:pPr>
      <w:r>
        <w:rPr>
          <w:rFonts w:eastAsia="楷体_GB2312"/>
          <w:b/>
          <w:sz w:val="44"/>
          <w:szCs w:val="44"/>
        </w:rPr>
        <w:t>二〇二</w:t>
      </w:r>
      <w:r>
        <w:rPr>
          <w:rFonts w:hint="eastAsia" w:eastAsia="楷体_GB2312"/>
          <w:b/>
          <w:sz w:val="44"/>
          <w:szCs w:val="44"/>
        </w:rPr>
        <w:t>二</w:t>
      </w:r>
      <w:r>
        <w:rPr>
          <w:rFonts w:eastAsia="楷体_GB2312"/>
          <w:b/>
          <w:sz w:val="44"/>
          <w:szCs w:val="44"/>
        </w:rPr>
        <w:t>年</w:t>
      </w:r>
      <w:r>
        <w:rPr>
          <w:rFonts w:hint="eastAsia" w:eastAsia="楷体_GB2312"/>
          <w:b/>
          <w:sz w:val="44"/>
          <w:szCs w:val="44"/>
        </w:rPr>
        <w:t>一</w:t>
      </w:r>
      <w:r>
        <w:rPr>
          <w:rFonts w:eastAsia="楷体_GB2312"/>
          <w:b/>
          <w:sz w:val="44"/>
          <w:szCs w:val="44"/>
        </w:rPr>
        <w:t>月</w:t>
      </w:r>
    </w:p>
    <w:p>
      <w:pPr>
        <w:jc w:val="center"/>
        <w:rPr>
          <w:rFonts w:ascii="方正小标宋简体" w:hAnsi="方正小标宋简体" w:eastAsia="方正小标宋简体" w:cs="方正小标宋简体"/>
          <w:bCs/>
          <w:sz w:val="44"/>
          <w:szCs w:val="44"/>
        </w:rPr>
      </w:pPr>
      <w:r>
        <w:rPr>
          <w:sz w:val="44"/>
        </w:rPr>
        <w:pict>
          <v:rect id="文本框 1" o:spid="_x0000_s1029" o:spt="1" style="position:absolute;left:0pt;margin-left:412.95pt;margin-top:-272.85pt;height:30.25pt;width:469.15pt;z-index:251659264;mso-width-relative:page;mso-height-relative:page;" o:preferrelative="t" stroked="t" coordsize="21600,21600">
            <v:path/>
            <v:fill focussize="0,0"/>
            <v:stroke color="#FFFFFF" miterlimit="2"/>
            <v:imagedata o:title=""/>
            <o:lock v:ext="edit"/>
            <v:textbox>
              <w:txbxContent>
                <w:p/>
              </w:txbxContent>
            </v:textbox>
          </v:rect>
        </w:pict>
      </w:r>
      <w:r>
        <w:rPr>
          <w:sz w:val="44"/>
        </w:rPr>
        <w:pict>
          <v:rect id="文本框 2" o:spid="_x0000_s1030" o:spt="1" style="position:absolute;left:0pt;margin-left:2.6pt;margin-top:-43.2pt;height:30.25pt;width:469.15pt;z-index:251659264;mso-width-relative:page;mso-height-relative:page;" o:preferrelative="t" stroked="t" coordsize="21600,21600">
            <v:path/>
            <v:fill focussize="0,0"/>
            <v:stroke color="#FFFFFF" miterlimit="2"/>
            <v:imagedata o:title=""/>
            <o:lock v:ext="edit"/>
            <v:textbox>
              <w:txbxContent>
                <w:p/>
              </w:txbxContent>
            </v:textbox>
          </v:rect>
        </w:pict>
      </w:r>
      <w:r>
        <w:rPr>
          <w:rFonts w:hint="eastAsia" w:ascii="方正小标宋简体" w:hAnsi="方正小标宋简体" w:eastAsia="方正小标宋简体" w:cs="方正小标宋简体"/>
          <w:bCs/>
          <w:sz w:val="44"/>
          <w:szCs w:val="44"/>
        </w:rPr>
        <w:t>目    录</w:t>
      </w:r>
    </w:p>
    <w:p>
      <w:pPr>
        <w:jc w:val="center"/>
      </w:pPr>
    </w:p>
    <w:p>
      <w:pPr>
        <w:pStyle w:val="22"/>
        <w:tabs>
          <w:tab w:val="right" w:leader="dot" w:pos="8296"/>
        </w:tabs>
        <w:snapToGrid w:val="0"/>
        <w:rPr>
          <w:rFonts w:eastAsia="华文楷体"/>
          <w:caps w:val="0"/>
          <w:sz w:val="24"/>
          <w:szCs w:val="24"/>
        </w:rPr>
      </w:pPr>
      <w:r>
        <w:rPr>
          <w:rFonts w:hint="eastAsia"/>
          <w:caps w:val="0"/>
          <w:kern w:val="10"/>
          <w:sz w:val="24"/>
          <w:szCs w:val="22"/>
        </w:rPr>
        <w:fldChar w:fldCharType="begin"/>
      </w:r>
      <w:r>
        <w:rPr>
          <w:rFonts w:hint="eastAsia"/>
          <w:caps w:val="0"/>
          <w:kern w:val="10"/>
          <w:sz w:val="24"/>
          <w:szCs w:val="22"/>
        </w:rPr>
        <w:instrText xml:space="preserve">TOC \o "1-2" \h \u </w:instrText>
      </w:r>
      <w:r>
        <w:rPr>
          <w:rFonts w:hint="eastAsia"/>
          <w:caps w:val="0"/>
          <w:kern w:val="10"/>
          <w:sz w:val="24"/>
          <w:szCs w:val="22"/>
        </w:rPr>
        <w:fldChar w:fldCharType="separate"/>
      </w:r>
      <w:r>
        <w:fldChar w:fldCharType="begin"/>
      </w:r>
      <w:r>
        <w:instrText xml:space="preserve"> HYPERLINK \l "_Toc87116130" </w:instrText>
      </w:r>
      <w:r>
        <w:fldChar w:fldCharType="separate"/>
      </w:r>
      <w:r>
        <w:rPr>
          <w:rStyle w:val="36"/>
          <w:rFonts w:eastAsia="华文楷体"/>
          <w:caps w:val="0"/>
          <w:sz w:val="24"/>
          <w:szCs w:val="24"/>
        </w:rPr>
        <w:t>一、分析发展形势，把握发展机遇</w:t>
      </w:r>
      <w:r>
        <w:rPr>
          <w:rFonts w:eastAsia="华文楷体"/>
          <w:caps w:val="0"/>
          <w:sz w:val="24"/>
          <w:szCs w:val="24"/>
        </w:rPr>
        <w:tab/>
      </w:r>
      <w:r>
        <w:rPr>
          <w:rFonts w:eastAsia="华文楷体"/>
          <w:caps w:val="0"/>
          <w:sz w:val="24"/>
          <w:szCs w:val="24"/>
        </w:rPr>
        <w:fldChar w:fldCharType="begin"/>
      </w:r>
      <w:r>
        <w:rPr>
          <w:rFonts w:eastAsia="华文楷体"/>
          <w:caps w:val="0"/>
          <w:sz w:val="24"/>
          <w:szCs w:val="24"/>
        </w:rPr>
        <w:instrText xml:space="preserve"> PAGEREF _Toc87116130 \h </w:instrText>
      </w:r>
      <w:r>
        <w:rPr>
          <w:rFonts w:eastAsia="华文楷体"/>
          <w:caps w:val="0"/>
          <w:sz w:val="24"/>
          <w:szCs w:val="24"/>
        </w:rPr>
        <w:fldChar w:fldCharType="separate"/>
      </w:r>
      <w:r>
        <w:rPr>
          <w:rFonts w:eastAsia="华文楷体"/>
          <w:caps w:val="0"/>
          <w:sz w:val="24"/>
          <w:szCs w:val="24"/>
        </w:rPr>
        <w:t>1</w:t>
      </w:r>
      <w:r>
        <w:rPr>
          <w:rFonts w:eastAsia="华文楷体"/>
          <w:caps w:val="0"/>
          <w:sz w:val="24"/>
          <w:szCs w:val="24"/>
        </w:rPr>
        <w:fldChar w:fldCharType="end"/>
      </w:r>
      <w:r>
        <w:rPr>
          <w:rFonts w:eastAsia="华文楷体"/>
          <w: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"_Toc87116131" </w:instrText>
      </w:r>
      <w:r>
        <w:fldChar w:fldCharType="separate"/>
      </w:r>
      <w:r>
        <w:rPr>
          <w:rStyle w:val="36"/>
          <w:rFonts w:eastAsia="华文楷体"/>
          <w:smallCaps w:val="0"/>
          <w:sz w:val="24"/>
          <w:szCs w:val="24"/>
        </w:rPr>
        <w:t>（一）“十三五”生态环境保护成效显著</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_Toc87116131 \h </w:instrText>
      </w:r>
      <w:r>
        <w:rPr>
          <w:rFonts w:eastAsia="华文楷体"/>
          <w:smallCaps w:val="0"/>
          <w:sz w:val="24"/>
          <w:szCs w:val="24"/>
        </w:rPr>
        <w:fldChar w:fldCharType="separate"/>
      </w:r>
      <w:r>
        <w:rPr>
          <w:rFonts w:eastAsia="华文楷体"/>
          <w:smallCaps w:val="0"/>
          <w:sz w:val="24"/>
          <w:szCs w:val="24"/>
        </w:rPr>
        <w:t>1</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"_Toc87116132" </w:instrText>
      </w:r>
      <w:r>
        <w:fldChar w:fldCharType="separate"/>
      </w:r>
      <w:r>
        <w:rPr>
          <w:rStyle w:val="36"/>
          <w:rFonts w:eastAsia="华文楷体"/>
          <w:smallCaps w:val="0"/>
          <w:sz w:val="24"/>
          <w:szCs w:val="24"/>
        </w:rPr>
        <w:t>（二）生态环境保护面临的压力和挑战</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_Toc87116132 \h </w:instrText>
      </w:r>
      <w:r>
        <w:rPr>
          <w:rFonts w:eastAsia="华文楷体"/>
          <w:smallCaps w:val="0"/>
          <w:sz w:val="24"/>
          <w:szCs w:val="24"/>
        </w:rPr>
        <w:fldChar w:fldCharType="separate"/>
      </w:r>
      <w:r>
        <w:rPr>
          <w:rFonts w:eastAsia="华文楷体"/>
          <w:smallCaps w:val="0"/>
          <w:sz w:val="24"/>
          <w:szCs w:val="24"/>
        </w:rPr>
        <w:t>4</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"_Toc87116133" </w:instrText>
      </w:r>
      <w:r>
        <w:fldChar w:fldCharType="separate"/>
      </w:r>
      <w:r>
        <w:rPr>
          <w:rStyle w:val="36"/>
          <w:rFonts w:eastAsia="华文楷体"/>
          <w:smallCaps w:val="0"/>
          <w:sz w:val="24"/>
          <w:szCs w:val="24"/>
        </w:rPr>
        <w:t>（三）把握生态环境保护重大战略机遇</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_Toc87116133 \h </w:instrText>
      </w:r>
      <w:r>
        <w:rPr>
          <w:rFonts w:eastAsia="华文楷体"/>
          <w:smallCaps w:val="0"/>
          <w:sz w:val="24"/>
          <w:szCs w:val="24"/>
        </w:rPr>
        <w:fldChar w:fldCharType="separate"/>
      </w:r>
      <w:r>
        <w:rPr>
          <w:rFonts w:eastAsia="华文楷体"/>
          <w:smallCaps w:val="0"/>
          <w:sz w:val="24"/>
          <w:szCs w:val="24"/>
        </w:rPr>
        <w:t>5</w:t>
      </w:r>
      <w:r>
        <w:rPr>
          <w:rFonts w:eastAsia="华文楷体"/>
          <w:smallCaps w:val="0"/>
          <w:sz w:val="24"/>
          <w:szCs w:val="24"/>
        </w:rPr>
        <w:fldChar w:fldCharType="end"/>
      </w:r>
      <w:r>
        <w:rPr>
          <w:rFonts w:eastAsia="华文楷体"/>
          <w:smallCaps w:val="0"/>
          <w:sz w:val="24"/>
          <w:szCs w:val="24"/>
        </w:rPr>
        <w:fldChar w:fldCharType="end"/>
      </w:r>
    </w:p>
    <w:p>
      <w:pPr>
        <w:pStyle w:val="22"/>
        <w:tabs>
          <w:tab w:val="right" w:leader="dot" w:pos="8296"/>
        </w:tabs>
        <w:snapToGrid w:val="0"/>
        <w:rPr>
          <w:rFonts w:eastAsia="华文楷体"/>
          <w:caps w:val="0"/>
          <w:sz w:val="24"/>
          <w:szCs w:val="24"/>
        </w:rPr>
      </w:pPr>
      <w:r>
        <w:fldChar w:fldCharType="begin"/>
      </w:r>
      <w:r>
        <w:instrText xml:space="preserve"> HYPERLINK \l "_Toc87116134" </w:instrText>
      </w:r>
      <w:r>
        <w:fldChar w:fldCharType="separate"/>
      </w:r>
      <w:r>
        <w:rPr>
          <w:rStyle w:val="36"/>
          <w:rFonts w:eastAsia="华文楷体"/>
          <w:caps w:val="0"/>
          <w:kern w:val="44"/>
          <w:sz w:val="24"/>
          <w:szCs w:val="24"/>
        </w:rPr>
        <w:t>二、坚持绿色发展，确立规划思路</w:t>
      </w:r>
      <w:r>
        <w:rPr>
          <w:rFonts w:eastAsia="华文楷体"/>
          <w:caps w:val="0"/>
          <w:sz w:val="24"/>
          <w:szCs w:val="24"/>
        </w:rPr>
        <w:tab/>
      </w:r>
      <w:r>
        <w:rPr>
          <w:rFonts w:eastAsia="华文楷体"/>
          <w:caps w:val="0"/>
          <w:sz w:val="24"/>
          <w:szCs w:val="24"/>
        </w:rPr>
        <w:fldChar w:fldCharType="begin"/>
      </w:r>
      <w:r>
        <w:rPr>
          <w:rFonts w:eastAsia="华文楷体"/>
          <w:caps w:val="0"/>
          <w:sz w:val="24"/>
          <w:szCs w:val="24"/>
        </w:rPr>
        <w:instrText xml:space="preserve"> PAGEREF _Toc87116134 \h </w:instrText>
      </w:r>
      <w:r>
        <w:rPr>
          <w:rFonts w:eastAsia="华文楷体"/>
          <w:caps w:val="0"/>
          <w:sz w:val="24"/>
          <w:szCs w:val="24"/>
        </w:rPr>
        <w:fldChar w:fldCharType="separate"/>
      </w:r>
      <w:r>
        <w:rPr>
          <w:rFonts w:eastAsia="华文楷体"/>
          <w:caps w:val="0"/>
          <w:sz w:val="24"/>
          <w:szCs w:val="24"/>
        </w:rPr>
        <w:t>9</w:t>
      </w:r>
      <w:r>
        <w:rPr>
          <w:rFonts w:eastAsia="华文楷体"/>
          <w:caps w:val="0"/>
          <w:sz w:val="24"/>
          <w:szCs w:val="24"/>
        </w:rPr>
        <w:fldChar w:fldCharType="end"/>
      </w:r>
      <w:r>
        <w:rPr>
          <w:rFonts w:eastAsia="华文楷体"/>
          <w: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"_Toc87116135" </w:instrText>
      </w:r>
      <w:r>
        <w:fldChar w:fldCharType="separate"/>
      </w:r>
      <w:r>
        <w:rPr>
          <w:rStyle w:val="36"/>
          <w:rFonts w:eastAsia="华文楷体"/>
          <w:smallCaps w:val="0"/>
          <w:sz w:val="24"/>
          <w:szCs w:val="24"/>
        </w:rPr>
        <w:t>（一）指导思想</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_Toc87116135 \h </w:instrText>
      </w:r>
      <w:r>
        <w:rPr>
          <w:rFonts w:eastAsia="华文楷体"/>
          <w:smallCaps w:val="0"/>
          <w:sz w:val="24"/>
          <w:szCs w:val="24"/>
        </w:rPr>
        <w:fldChar w:fldCharType="separate"/>
      </w:r>
      <w:r>
        <w:rPr>
          <w:rFonts w:eastAsia="华文楷体"/>
          <w:smallCaps w:val="0"/>
          <w:sz w:val="24"/>
          <w:szCs w:val="24"/>
        </w:rPr>
        <w:t>9</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"_Toc87116136" </w:instrText>
      </w:r>
      <w:r>
        <w:fldChar w:fldCharType="separate"/>
      </w:r>
      <w:r>
        <w:rPr>
          <w:rStyle w:val="36"/>
          <w:rFonts w:eastAsia="华文楷体"/>
          <w:smallCaps w:val="0"/>
          <w:sz w:val="24"/>
          <w:szCs w:val="24"/>
        </w:rPr>
        <w:t>（二）基本原则</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_Toc87116136 \h </w:instrText>
      </w:r>
      <w:r>
        <w:rPr>
          <w:rFonts w:eastAsia="华文楷体"/>
          <w:smallCaps w:val="0"/>
          <w:sz w:val="24"/>
          <w:szCs w:val="24"/>
        </w:rPr>
        <w:fldChar w:fldCharType="separate"/>
      </w:r>
      <w:r>
        <w:rPr>
          <w:rFonts w:eastAsia="华文楷体"/>
          <w:smallCaps w:val="0"/>
          <w:sz w:val="24"/>
          <w:szCs w:val="24"/>
        </w:rPr>
        <w:t>9</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"_Toc87116137" </w:instrText>
      </w:r>
      <w:r>
        <w:fldChar w:fldCharType="separate"/>
      </w:r>
      <w:r>
        <w:rPr>
          <w:rStyle w:val="36"/>
          <w:rFonts w:eastAsia="华文楷体"/>
          <w:smallCaps w:val="0"/>
          <w:sz w:val="24"/>
          <w:szCs w:val="24"/>
        </w:rPr>
        <w:t>（三）规划目标</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_Toc87116137 \h </w:instrText>
      </w:r>
      <w:r>
        <w:rPr>
          <w:rFonts w:eastAsia="华文楷体"/>
          <w:smallCaps w:val="0"/>
          <w:sz w:val="24"/>
          <w:szCs w:val="24"/>
        </w:rPr>
        <w:fldChar w:fldCharType="separate"/>
      </w:r>
      <w:r>
        <w:rPr>
          <w:rFonts w:eastAsia="华文楷体"/>
          <w:smallCaps w:val="0"/>
          <w:sz w:val="24"/>
          <w:szCs w:val="24"/>
        </w:rPr>
        <w:t>10</w:t>
      </w:r>
      <w:r>
        <w:rPr>
          <w:rFonts w:eastAsia="华文楷体"/>
          <w:smallCaps w:val="0"/>
          <w:sz w:val="24"/>
          <w:szCs w:val="24"/>
        </w:rPr>
        <w:fldChar w:fldCharType="end"/>
      </w:r>
      <w:r>
        <w:rPr>
          <w:rFonts w:eastAsia="华文楷体"/>
          <w:smallCaps w:val="0"/>
          <w:sz w:val="24"/>
          <w:szCs w:val="24"/>
        </w:rPr>
        <w:fldChar w:fldCharType="end"/>
      </w:r>
    </w:p>
    <w:p>
      <w:pPr>
        <w:pStyle w:val="22"/>
        <w:tabs>
          <w:tab w:val="right" w:leader="dot" w:pos="8296"/>
        </w:tabs>
        <w:snapToGrid w:val="0"/>
        <w:rPr>
          <w:rFonts w:eastAsia="华文楷体"/>
          <w:caps w:val="0"/>
          <w:sz w:val="24"/>
          <w:szCs w:val="24"/>
        </w:rPr>
      </w:pPr>
      <w:r>
        <w:fldChar w:fldCharType="begin"/>
      </w:r>
      <w:r>
        <w:instrText xml:space="preserve"> HYPERLINK \l "_Toc87116138" </w:instrText>
      </w:r>
      <w:r>
        <w:fldChar w:fldCharType="separate"/>
      </w:r>
      <w:r>
        <w:rPr>
          <w:rStyle w:val="36"/>
          <w:rFonts w:eastAsia="华文楷体"/>
          <w:caps w:val="0"/>
          <w:kern w:val="44"/>
          <w:sz w:val="24"/>
          <w:szCs w:val="24"/>
        </w:rPr>
        <w:t>三、推动结构转型，积极促成碳达峰</w:t>
      </w:r>
      <w:r>
        <w:rPr>
          <w:rFonts w:eastAsia="华文楷体"/>
          <w:caps w:val="0"/>
          <w:sz w:val="24"/>
          <w:szCs w:val="24"/>
        </w:rPr>
        <w:tab/>
      </w:r>
      <w:r>
        <w:rPr>
          <w:rFonts w:eastAsia="华文楷体"/>
          <w:caps w:val="0"/>
          <w:sz w:val="24"/>
          <w:szCs w:val="24"/>
        </w:rPr>
        <w:fldChar w:fldCharType="begin"/>
      </w:r>
      <w:r>
        <w:rPr>
          <w:rFonts w:eastAsia="华文楷体"/>
          <w:caps w:val="0"/>
          <w:sz w:val="24"/>
          <w:szCs w:val="24"/>
        </w:rPr>
        <w:instrText xml:space="preserve"> PAGEREF _Toc87116138 \h </w:instrText>
      </w:r>
      <w:r>
        <w:rPr>
          <w:rFonts w:eastAsia="华文楷体"/>
          <w:caps w:val="0"/>
          <w:sz w:val="24"/>
          <w:szCs w:val="24"/>
        </w:rPr>
        <w:fldChar w:fldCharType="separate"/>
      </w:r>
      <w:r>
        <w:rPr>
          <w:rFonts w:eastAsia="华文楷体"/>
          <w:caps w:val="0"/>
          <w:sz w:val="24"/>
          <w:szCs w:val="24"/>
        </w:rPr>
        <w:t>15</w:t>
      </w:r>
      <w:r>
        <w:rPr>
          <w:rFonts w:eastAsia="华文楷体"/>
          <w:caps w:val="0"/>
          <w:sz w:val="24"/>
          <w:szCs w:val="24"/>
        </w:rPr>
        <w:fldChar w:fldCharType="end"/>
      </w:r>
      <w:r>
        <w:rPr>
          <w:rFonts w:eastAsia="华文楷体"/>
          <w: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"_Toc87116139" </w:instrText>
      </w:r>
      <w:r>
        <w:fldChar w:fldCharType="separate"/>
      </w:r>
      <w:r>
        <w:rPr>
          <w:rStyle w:val="36"/>
          <w:rFonts w:eastAsia="华文楷体"/>
          <w:smallCaps w:val="0"/>
          <w:sz w:val="24"/>
          <w:szCs w:val="24"/>
        </w:rPr>
        <w:t>（一）促进产业结构优化升级</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_Toc87116139 \h </w:instrText>
      </w:r>
      <w:r>
        <w:rPr>
          <w:rFonts w:eastAsia="华文楷体"/>
          <w:smallCaps w:val="0"/>
          <w:sz w:val="24"/>
          <w:szCs w:val="24"/>
        </w:rPr>
        <w:fldChar w:fldCharType="separate"/>
      </w:r>
      <w:r>
        <w:rPr>
          <w:rFonts w:eastAsia="华文楷体"/>
          <w:smallCaps w:val="0"/>
          <w:sz w:val="24"/>
          <w:szCs w:val="24"/>
        </w:rPr>
        <w:t>15</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"_Toc87116140" </w:instrText>
      </w:r>
      <w:r>
        <w:fldChar w:fldCharType="separate"/>
      </w:r>
      <w:r>
        <w:rPr>
          <w:rStyle w:val="36"/>
          <w:rFonts w:eastAsia="华文楷体"/>
          <w:smallCaps w:val="0"/>
          <w:sz w:val="24"/>
          <w:szCs w:val="24"/>
        </w:rPr>
        <w:t>（二）健全绿色低碳循环体系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_Toc87116140 \h </w:instrText>
      </w:r>
      <w:r>
        <w:rPr>
          <w:rFonts w:eastAsia="华文楷体"/>
          <w:smallCaps w:val="0"/>
          <w:sz w:val="24"/>
          <w:szCs w:val="24"/>
        </w:rPr>
        <w:fldChar w:fldCharType="separate"/>
      </w:r>
      <w:r>
        <w:rPr>
          <w:rFonts w:eastAsia="华文楷体"/>
          <w:smallCaps w:val="0"/>
          <w:sz w:val="24"/>
          <w:szCs w:val="24"/>
        </w:rPr>
        <w:t>17</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"_Toc87116141" </w:instrText>
      </w:r>
      <w:r>
        <w:fldChar w:fldCharType="separate"/>
      </w:r>
      <w:r>
        <w:rPr>
          <w:rStyle w:val="36"/>
          <w:rFonts w:eastAsia="华文楷体"/>
          <w:smallCaps w:val="0"/>
          <w:sz w:val="24"/>
          <w:szCs w:val="24"/>
        </w:rPr>
        <w:t>（三）倡导培育绿色生活方式</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_Toc87116141 \h </w:instrText>
      </w:r>
      <w:r>
        <w:rPr>
          <w:rFonts w:eastAsia="华文楷体"/>
          <w:smallCaps w:val="0"/>
          <w:sz w:val="24"/>
          <w:szCs w:val="24"/>
        </w:rPr>
        <w:fldChar w:fldCharType="separate"/>
      </w:r>
      <w:r>
        <w:rPr>
          <w:rFonts w:eastAsia="华文楷体"/>
          <w:smallCaps w:val="0"/>
          <w:sz w:val="24"/>
          <w:szCs w:val="24"/>
        </w:rPr>
        <w:t>19</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"_Toc87116142" </w:instrText>
      </w:r>
      <w:r>
        <w:fldChar w:fldCharType="separate"/>
      </w:r>
      <w:r>
        <w:rPr>
          <w:rStyle w:val="36"/>
          <w:rFonts w:eastAsia="华文楷体"/>
          <w:smallCaps w:val="0"/>
          <w:sz w:val="24"/>
          <w:szCs w:val="24"/>
        </w:rPr>
        <w:t>（四）积极促成碳达峰碳中和</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_Toc87116142 \h </w:instrText>
      </w:r>
      <w:r>
        <w:rPr>
          <w:rFonts w:eastAsia="华文楷体"/>
          <w:smallCaps w:val="0"/>
          <w:sz w:val="24"/>
          <w:szCs w:val="24"/>
        </w:rPr>
        <w:fldChar w:fldCharType="separate"/>
      </w:r>
      <w:r>
        <w:rPr>
          <w:rFonts w:eastAsia="华文楷体"/>
          <w:smallCaps w:val="0"/>
          <w:sz w:val="24"/>
          <w:szCs w:val="24"/>
        </w:rPr>
        <w:t>21</w:t>
      </w:r>
      <w:r>
        <w:rPr>
          <w:rFonts w:eastAsia="华文楷体"/>
          <w:smallCaps w:val="0"/>
          <w:sz w:val="24"/>
          <w:szCs w:val="24"/>
        </w:rPr>
        <w:fldChar w:fldCharType="end"/>
      </w:r>
      <w:r>
        <w:rPr>
          <w:rFonts w:eastAsia="华文楷体"/>
          <w:smallCaps w:val="0"/>
          <w:sz w:val="24"/>
          <w:szCs w:val="24"/>
        </w:rPr>
        <w:fldChar w:fldCharType="end"/>
      </w:r>
    </w:p>
    <w:p>
      <w:pPr>
        <w:pStyle w:val="22"/>
        <w:tabs>
          <w:tab w:val="right" w:leader="dot" w:pos="8296"/>
        </w:tabs>
        <w:snapToGrid w:val="0"/>
        <w:rPr>
          <w:rFonts w:eastAsia="华文楷体"/>
          <w:caps w:val="0"/>
          <w:sz w:val="24"/>
          <w:szCs w:val="24"/>
        </w:rPr>
      </w:pPr>
      <w:r>
        <w:fldChar w:fldCharType="begin"/>
      </w:r>
      <w:r>
        <w:instrText xml:space="preserve"> HYPERLINK \l "_Toc87116143" </w:instrText>
      </w:r>
      <w:r>
        <w:fldChar w:fldCharType="separate"/>
      </w:r>
      <w:r>
        <w:rPr>
          <w:rStyle w:val="36"/>
          <w:rFonts w:eastAsia="华文楷体"/>
          <w:caps w:val="0"/>
          <w:kern w:val="44"/>
          <w:sz w:val="24"/>
          <w:szCs w:val="24"/>
        </w:rPr>
        <w:t>四、强化生态空间管控，加强生态系统保护与修复</w:t>
      </w:r>
      <w:r>
        <w:rPr>
          <w:rFonts w:eastAsia="华文楷体"/>
          <w:caps w:val="0"/>
          <w:sz w:val="24"/>
          <w:szCs w:val="24"/>
        </w:rPr>
        <w:tab/>
      </w:r>
      <w:r>
        <w:rPr>
          <w:rFonts w:eastAsia="华文楷体"/>
          <w:caps w:val="0"/>
          <w:sz w:val="24"/>
          <w:szCs w:val="24"/>
        </w:rPr>
        <w:fldChar w:fldCharType="begin"/>
      </w:r>
      <w:r>
        <w:rPr>
          <w:rFonts w:eastAsia="华文楷体"/>
          <w:caps w:val="0"/>
          <w:sz w:val="24"/>
          <w:szCs w:val="24"/>
        </w:rPr>
        <w:instrText xml:space="preserve"> PAGEREF _Toc87116143 \h </w:instrText>
      </w:r>
      <w:r>
        <w:rPr>
          <w:rFonts w:eastAsia="华文楷体"/>
          <w:caps w:val="0"/>
          <w:sz w:val="24"/>
          <w:szCs w:val="24"/>
        </w:rPr>
        <w:fldChar w:fldCharType="separate"/>
      </w:r>
      <w:r>
        <w:rPr>
          <w:rFonts w:eastAsia="华文楷体"/>
          <w:caps w:val="0"/>
          <w:sz w:val="24"/>
          <w:szCs w:val="24"/>
        </w:rPr>
        <w:t>22</w:t>
      </w:r>
      <w:r>
        <w:rPr>
          <w:rFonts w:eastAsia="华文楷体"/>
          <w:caps w:val="0"/>
          <w:sz w:val="24"/>
          <w:szCs w:val="24"/>
        </w:rPr>
        <w:fldChar w:fldCharType="end"/>
      </w:r>
      <w:r>
        <w:rPr>
          <w:rFonts w:eastAsia="华文楷体"/>
          <w: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"_Toc87116144" </w:instrText>
      </w:r>
      <w:r>
        <w:fldChar w:fldCharType="separate"/>
      </w:r>
      <w:r>
        <w:rPr>
          <w:rStyle w:val="36"/>
          <w:rFonts w:eastAsia="华文楷体"/>
          <w:smallCaps w:val="0"/>
          <w:sz w:val="24"/>
          <w:szCs w:val="24"/>
        </w:rPr>
        <w:t>（一）强化“三线一单”管控</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_Toc87116144 \h </w:instrText>
      </w:r>
      <w:r>
        <w:rPr>
          <w:rFonts w:eastAsia="华文楷体"/>
          <w:smallCaps w:val="0"/>
          <w:sz w:val="24"/>
          <w:szCs w:val="24"/>
        </w:rPr>
        <w:fldChar w:fldCharType="separate"/>
      </w:r>
      <w:r>
        <w:rPr>
          <w:rFonts w:eastAsia="华文楷体"/>
          <w:smallCaps w:val="0"/>
          <w:sz w:val="24"/>
          <w:szCs w:val="24"/>
        </w:rPr>
        <w:t>22</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"_Toc87116145" </w:instrText>
      </w:r>
      <w:r>
        <w:fldChar w:fldCharType="separate"/>
      </w:r>
      <w:r>
        <w:rPr>
          <w:rStyle w:val="36"/>
          <w:rFonts w:eastAsia="华文楷体"/>
          <w:smallCaps w:val="0"/>
          <w:sz w:val="24"/>
          <w:szCs w:val="24"/>
        </w:rPr>
        <w:t>（二）优化生态空间格局</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_Toc87116145 \h </w:instrText>
      </w:r>
      <w:r>
        <w:rPr>
          <w:rFonts w:eastAsia="华文楷体"/>
          <w:smallCaps w:val="0"/>
          <w:sz w:val="24"/>
          <w:szCs w:val="24"/>
        </w:rPr>
        <w:fldChar w:fldCharType="separate"/>
      </w:r>
      <w:r>
        <w:rPr>
          <w:rFonts w:eastAsia="华文楷体"/>
          <w:smallCaps w:val="0"/>
          <w:sz w:val="24"/>
          <w:szCs w:val="24"/>
        </w:rPr>
        <w:t>24</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"_Toc87116146" </w:instrText>
      </w:r>
      <w:r>
        <w:fldChar w:fldCharType="separate"/>
      </w:r>
      <w:r>
        <w:rPr>
          <w:rStyle w:val="36"/>
          <w:rFonts w:eastAsia="华文楷体"/>
          <w:smallCaps w:val="0"/>
          <w:sz w:val="24"/>
          <w:szCs w:val="24"/>
        </w:rPr>
        <w:t>（三）加强生态系统保护与修复</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_Toc87116146 \h </w:instrText>
      </w:r>
      <w:r>
        <w:rPr>
          <w:rFonts w:eastAsia="华文楷体"/>
          <w:smallCaps w:val="0"/>
          <w:sz w:val="24"/>
          <w:szCs w:val="24"/>
        </w:rPr>
        <w:fldChar w:fldCharType="separate"/>
      </w:r>
      <w:r>
        <w:rPr>
          <w:rFonts w:eastAsia="华文楷体"/>
          <w:smallCaps w:val="0"/>
          <w:sz w:val="24"/>
          <w:szCs w:val="24"/>
        </w:rPr>
        <w:t>25</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"_Toc87116147" </w:instrText>
      </w:r>
      <w:r>
        <w:fldChar w:fldCharType="separate"/>
      </w:r>
      <w:r>
        <w:rPr>
          <w:rStyle w:val="36"/>
          <w:rFonts w:eastAsia="华文楷体"/>
          <w:smallCaps w:val="0"/>
          <w:sz w:val="24"/>
          <w:szCs w:val="24"/>
        </w:rPr>
        <w:t>（四）开展生态系统保护与修复成效监测评估</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_Toc87116147 \h </w:instrText>
      </w:r>
      <w:r>
        <w:rPr>
          <w:rFonts w:eastAsia="华文楷体"/>
          <w:smallCaps w:val="0"/>
          <w:sz w:val="24"/>
          <w:szCs w:val="24"/>
        </w:rPr>
        <w:fldChar w:fldCharType="separate"/>
      </w:r>
      <w:r>
        <w:rPr>
          <w:rFonts w:eastAsia="华文楷体"/>
          <w:smallCaps w:val="0"/>
          <w:sz w:val="24"/>
          <w:szCs w:val="24"/>
        </w:rPr>
        <w:t>26</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"_Toc87116148" </w:instrText>
      </w:r>
      <w:r>
        <w:fldChar w:fldCharType="separate"/>
      </w:r>
      <w:r>
        <w:rPr>
          <w:rStyle w:val="36"/>
          <w:rFonts w:eastAsia="华文楷体"/>
          <w:smallCaps w:val="0"/>
          <w:sz w:val="24"/>
          <w:szCs w:val="24"/>
        </w:rPr>
        <w:t>（五）突出生态创建示范引领</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_Toc87116148 \h </w:instrText>
      </w:r>
      <w:r>
        <w:rPr>
          <w:rFonts w:eastAsia="华文楷体"/>
          <w:smallCaps w:val="0"/>
          <w:sz w:val="24"/>
          <w:szCs w:val="24"/>
        </w:rPr>
        <w:fldChar w:fldCharType="separate"/>
      </w:r>
      <w:r>
        <w:rPr>
          <w:rFonts w:eastAsia="华文楷体"/>
          <w:smallCaps w:val="0"/>
          <w:sz w:val="24"/>
          <w:szCs w:val="24"/>
        </w:rPr>
        <w:t>27</w:t>
      </w:r>
      <w:r>
        <w:rPr>
          <w:rFonts w:eastAsia="华文楷体"/>
          <w:smallCaps w:val="0"/>
          <w:sz w:val="24"/>
          <w:szCs w:val="24"/>
        </w:rPr>
        <w:fldChar w:fldCharType="end"/>
      </w:r>
      <w:r>
        <w:rPr>
          <w:rFonts w:eastAsia="华文楷体"/>
          <w:smallCaps w:val="0"/>
          <w:sz w:val="24"/>
          <w:szCs w:val="24"/>
        </w:rPr>
        <w:fldChar w:fldCharType="end"/>
      </w:r>
    </w:p>
    <w:p>
      <w:pPr>
        <w:pStyle w:val="22"/>
        <w:tabs>
          <w:tab w:val="right" w:leader="dot" w:pos="8296"/>
        </w:tabs>
        <w:snapToGrid w:val="0"/>
        <w:rPr>
          <w:rFonts w:eastAsia="华文楷体"/>
          <w:caps w:val="0"/>
          <w:sz w:val="24"/>
          <w:szCs w:val="24"/>
        </w:rPr>
      </w:pPr>
      <w:r>
        <w:fldChar w:fldCharType="begin"/>
      </w:r>
      <w:r>
        <w:instrText xml:space="preserve"> HYPERLINK \l "_Toc87116149" </w:instrText>
      </w:r>
      <w:r>
        <w:fldChar w:fldCharType="separate"/>
      </w:r>
      <w:r>
        <w:rPr>
          <w:rStyle w:val="36"/>
          <w:rFonts w:eastAsia="华文楷体"/>
          <w:caps w:val="0"/>
          <w:kern w:val="44"/>
          <w:sz w:val="24"/>
          <w:szCs w:val="24"/>
        </w:rPr>
        <w:t>五、深入打好污染防治攻坚战、持续改善生态环境质量</w:t>
      </w:r>
      <w:r>
        <w:rPr>
          <w:rFonts w:eastAsia="华文楷体"/>
          <w:caps w:val="0"/>
          <w:sz w:val="24"/>
          <w:szCs w:val="24"/>
        </w:rPr>
        <w:tab/>
      </w:r>
      <w:r>
        <w:rPr>
          <w:rFonts w:eastAsia="华文楷体"/>
          <w:caps w:val="0"/>
          <w:sz w:val="24"/>
          <w:szCs w:val="24"/>
        </w:rPr>
        <w:fldChar w:fldCharType="begin"/>
      </w:r>
      <w:r>
        <w:rPr>
          <w:rFonts w:eastAsia="华文楷体"/>
          <w:caps w:val="0"/>
          <w:sz w:val="24"/>
          <w:szCs w:val="24"/>
        </w:rPr>
        <w:instrText xml:space="preserve"> PAGEREF _Toc87116149 \h </w:instrText>
      </w:r>
      <w:r>
        <w:rPr>
          <w:rFonts w:eastAsia="华文楷体"/>
          <w:caps w:val="0"/>
          <w:sz w:val="24"/>
          <w:szCs w:val="24"/>
        </w:rPr>
        <w:fldChar w:fldCharType="separate"/>
      </w:r>
      <w:r>
        <w:rPr>
          <w:rFonts w:eastAsia="华文楷体"/>
          <w:caps w:val="0"/>
          <w:sz w:val="24"/>
          <w:szCs w:val="24"/>
        </w:rPr>
        <w:t>27</w:t>
      </w:r>
      <w:r>
        <w:rPr>
          <w:rFonts w:eastAsia="华文楷体"/>
          <w:caps w:val="0"/>
          <w:sz w:val="24"/>
          <w:szCs w:val="24"/>
        </w:rPr>
        <w:fldChar w:fldCharType="end"/>
      </w:r>
      <w:r>
        <w:rPr>
          <w:rFonts w:eastAsia="华文楷体"/>
          <w: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"_Toc87116150" </w:instrText>
      </w:r>
      <w:r>
        <w:fldChar w:fldCharType="separate"/>
      </w:r>
      <w:r>
        <w:rPr>
          <w:rStyle w:val="36"/>
          <w:rFonts w:eastAsia="华文楷体"/>
          <w:smallCaps w:val="0"/>
          <w:sz w:val="24"/>
          <w:szCs w:val="24"/>
        </w:rPr>
        <w:t>（一）深入打好碧水保卫战</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_Toc87116150 \h </w:instrText>
      </w:r>
      <w:r>
        <w:rPr>
          <w:rFonts w:eastAsia="华文楷体"/>
          <w:smallCaps w:val="0"/>
          <w:sz w:val="24"/>
          <w:szCs w:val="24"/>
        </w:rPr>
        <w:fldChar w:fldCharType="separate"/>
      </w:r>
      <w:r>
        <w:rPr>
          <w:rFonts w:eastAsia="华文楷体"/>
          <w:smallCaps w:val="0"/>
          <w:sz w:val="24"/>
          <w:szCs w:val="24"/>
        </w:rPr>
        <w:t>27</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"_Toc87116151" </w:instrText>
      </w:r>
      <w:r>
        <w:fldChar w:fldCharType="separate"/>
      </w:r>
      <w:r>
        <w:rPr>
          <w:rStyle w:val="36"/>
          <w:rFonts w:eastAsia="华文楷体"/>
          <w:smallCaps w:val="0"/>
          <w:sz w:val="24"/>
          <w:szCs w:val="24"/>
        </w:rPr>
        <w:t>（二）深入打好蓝天保卫战</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_Toc87116151 \h </w:instrText>
      </w:r>
      <w:r>
        <w:rPr>
          <w:rFonts w:eastAsia="华文楷体"/>
          <w:smallCaps w:val="0"/>
          <w:sz w:val="24"/>
          <w:szCs w:val="24"/>
        </w:rPr>
        <w:fldChar w:fldCharType="separate"/>
      </w:r>
      <w:r>
        <w:rPr>
          <w:rFonts w:eastAsia="华文楷体"/>
          <w:smallCaps w:val="0"/>
          <w:sz w:val="24"/>
          <w:szCs w:val="24"/>
        </w:rPr>
        <w:t>30</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"_Toc87116152" </w:instrText>
      </w:r>
      <w:r>
        <w:fldChar w:fldCharType="separate"/>
      </w:r>
      <w:r>
        <w:rPr>
          <w:rStyle w:val="36"/>
          <w:rFonts w:eastAsia="华文楷体"/>
          <w:smallCaps w:val="0"/>
          <w:sz w:val="24"/>
          <w:szCs w:val="24"/>
        </w:rPr>
        <w:t>（三）深入打好净土保卫战</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_Toc87116152 \h </w:instrText>
      </w:r>
      <w:r>
        <w:rPr>
          <w:rFonts w:eastAsia="华文楷体"/>
          <w:smallCaps w:val="0"/>
          <w:sz w:val="24"/>
          <w:szCs w:val="24"/>
        </w:rPr>
        <w:fldChar w:fldCharType="separate"/>
      </w:r>
      <w:r>
        <w:rPr>
          <w:rFonts w:eastAsia="华文楷体"/>
          <w:smallCaps w:val="0"/>
          <w:sz w:val="24"/>
          <w:szCs w:val="24"/>
        </w:rPr>
        <w:t>33</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"_Toc87116153" </w:instrText>
      </w:r>
      <w:r>
        <w:fldChar w:fldCharType="separate"/>
      </w:r>
      <w:r>
        <w:rPr>
          <w:rStyle w:val="36"/>
          <w:rFonts w:eastAsia="华文楷体"/>
          <w:smallCaps w:val="0"/>
          <w:sz w:val="24"/>
          <w:szCs w:val="24"/>
        </w:rPr>
        <w:t>（四）持续推进噪声污染防治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_Toc87116153 \h </w:instrText>
      </w:r>
      <w:r>
        <w:rPr>
          <w:rFonts w:eastAsia="华文楷体"/>
          <w:smallCaps w:val="0"/>
          <w:sz w:val="24"/>
          <w:szCs w:val="24"/>
        </w:rPr>
        <w:fldChar w:fldCharType="separate"/>
      </w:r>
      <w:r>
        <w:rPr>
          <w:rFonts w:eastAsia="华文楷体"/>
          <w:smallCaps w:val="0"/>
          <w:sz w:val="24"/>
          <w:szCs w:val="24"/>
        </w:rPr>
        <w:t>35</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"_Toc87116154" </w:instrText>
      </w:r>
      <w:r>
        <w:fldChar w:fldCharType="separate"/>
      </w:r>
      <w:r>
        <w:rPr>
          <w:rStyle w:val="36"/>
          <w:rFonts w:eastAsia="华文楷体"/>
          <w:smallCaps w:val="0"/>
          <w:sz w:val="24"/>
          <w:szCs w:val="24"/>
        </w:rPr>
        <w:t>（五）加强农村生态环境保护</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_Toc87116154 \h </w:instrText>
      </w:r>
      <w:r>
        <w:rPr>
          <w:rFonts w:eastAsia="华文楷体"/>
          <w:smallCaps w:val="0"/>
          <w:sz w:val="24"/>
          <w:szCs w:val="24"/>
        </w:rPr>
        <w:fldChar w:fldCharType="separate"/>
      </w:r>
      <w:r>
        <w:rPr>
          <w:rFonts w:eastAsia="华文楷体"/>
          <w:smallCaps w:val="0"/>
          <w:sz w:val="24"/>
          <w:szCs w:val="24"/>
        </w:rPr>
        <w:t>36</w:t>
      </w:r>
      <w:r>
        <w:rPr>
          <w:rFonts w:eastAsia="华文楷体"/>
          <w:smallCaps w:val="0"/>
          <w:sz w:val="24"/>
          <w:szCs w:val="24"/>
        </w:rPr>
        <w:fldChar w:fldCharType="end"/>
      </w:r>
      <w:r>
        <w:rPr>
          <w:rFonts w:eastAsia="华文楷体"/>
          <w:smallCaps w:val="0"/>
          <w:sz w:val="24"/>
          <w:szCs w:val="24"/>
        </w:rPr>
        <w:fldChar w:fldCharType="end"/>
      </w:r>
    </w:p>
    <w:p>
      <w:pPr>
        <w:pStyle w:val="22"/>
        <w:tabs>
          <w:tab w:val="right" w:leader="dot" w:pos="8296"/>
        </w:tabs>
        <w:snapToGrid w:val="0"/>
        <w:rPr>
          <w:rFonts w:eastAsia="华文楷体"/>
          <w:caps w:val="0"/>
          <w:sz w:val="24"/>
          <w:szCs w:val="24"/>
        </w:rPr>
      </w:pPr>
      <w:r>
        <w:fldChar w:fldCharType="begin"/>
      </w:r>
      <w:r>
        <w:instrText xml:space="preserve"> HYPERLINK \l "_Toc87116155" </w:instrText>
      </w:r>
      <w:r>
        <w:fldChar w:fldCharType="separate"/>
      </w:r>
      <w:r>
        <w:rPr>
          <w:rStyle w:val="36"/>
          <w:rFonts w:eastAsia="华文楷体"/>
          <w:caps w:val="0"/>
          <w:kern w:val="44"/>
          <w:sz w:val="24"/>
          <w:szCs w:val="24"/>
        </w:rPr>
        <w:t>六、解决突出环境问题、提升防控能力</w:t>
      </w:r>
      <w:r>
        <w:rPr>
          <w:rFonts w:eastAsia="华文楷体"/>
          <w:caps w:val="0"/>
          <w:sz w:val="24"/>
          <w:szCs w:val="24"/>
        </w:rPr>
        <w:tab/>
      </w:r>
      <w:r>
        <w:rPr>
          <w:rFonts w:eastAsia="华文楷体"/>
          <w:caps w:val="0"/>
          <w:sz w:val="24"/>
          <w:szCs w:val="24"/>
        </w:rPr>
        <w:fldChar w:fldCharType="begin"/>
      </w:r>
      <w:r>
        <w:rPr>
          <w:rFonts w:eastAsia="华文楷体"/>
          <w:caps w:val="0"/>
          <w:sz w:val="24"/>
          <w:szCs w:val="24"/>
        </w:rPr>
        <w:instrText xml:space="preserve"> PAGEREF _Toc87116155 \h </w:instrText>
      </w:r>
      <w:r>
        <w:rPr>
          <w:rFonts w:eastAsia="华文楷体"/>
          <w:caps w:val="0"/>
          <w:sz w:val="24"/>
          <w:szCs w:val="24"/>
        </w:rPr>
        <w:fldChar w:fldCharType="separate"/>
      </w:r>
      <w:r>
        <w:rPr>
          <w:rFonts w:eastAsia="华文楷体"/>
          <w:caps w:val="0"/>
          <w:sz w:val="24"/>
          <w:szCs w:val="24"/>
        </w:rPr>
        <w:t>37</w:t>
      </w:r>
      <w:r>
        <w:rPr>
          <w:rFonts w:eastAsia="华文楷体"/>
          <w:caps w:val="0"/>
          <w:sz w:val="24"/>
          <w:szCs w:val="24"/>
        </w:rPr>
        <w:fldChar w:fldCharType="end"/>
      </w:r>
      <w:r>
        <w:rPr>
          <w:rFonts w:eastAsia="华文楷体"/>
          <w: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"_Toc87116156" </w:instrText>
      </w:r>
      <w:r>
        <w:fldChar w:fldCharType="separate"/>
      </w:r>
      <w:r>
        <w:rPr>
          <w:rStyle w:val="36"/>
          <w:rFonts w:eastAsia="华文楷体"/>
          <w:smallCaps w:val="0"/>
          <w:sz w:val="24"/>
          <w:szCs w:val="24"/>
        </w:rPr>
        <w:t>（一）解决突出生态环境问题</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_Toc87116156 \h </w:instrText>
      </w:r>
      <w:r>
        <w:rPr>
          <w:rFonts w:eastAsia="华文楷体"/>
          <w:smallCaps w:val="0"/>
          <w:sz w:val="24"/>
          <w:szCs w:val="24"/>
        </w:rPr>
        <w:fldChar w:fldCharType="separate"/>
      </w:r>
      <w:r>
        <w:rPr>
          <w:rFonts w:eastAsia="华文楷体"/>
          <w:smallCaps w:val="0"/>
          <w:sz w:val="24"/>
          <w:szCs w:val="24"/>
        </w:rPr>
        <w:t>37</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"_Toc87116157" </w:instrText>
      </w:r>
      <w:r>
        <w:fldChar w:fldCharType="separate"/>
      </w:r>
      <w:r>
        <w:rPr>
          <w:rStyle w:val="36"/>
          <w:rFonts w:eastAsia="华文楷体"/>
          <w:smallCaps w:val="0"/>
          <w:sz w:val="24"/>
          <w:szCs w:val="24"/>
        </w:rPr>
        <w:t>（二）加强环境风险预警与应急处置</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_Toc87116157 \h </w:instrText>
      </w:r>
      <w:r>
        <w:rPr>
          <w:rFonts w:eastAsia="华文楷体"/>
          <w:smallCaps w:val="0"/>
          <w:sz w:val="24"/>
          <w:szCs w:val="24"/>
        </w:rPr>
        <w:fldChar w:fldCharType="separate"/>
      </w:r>
      <w:r>
        <w:rPr>
          <w:rFonts w:eastAsia="华文楷体"/>
          <w:smallCaps w:val="0"/>
          <w:sz w:val="24"/>
          <w:szCs w:val="24"/>
        </w:rPr>
        <w:t>38</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"_Toc87116158" </w:instrText>
      </w:r>
      <w:r>
        <w:fldChar w:fldCharType="separate"/>
      </w:r>
      <w:r>
        <w:rPr>
          <w:rStyle w:val="36"/>
          <w:rFonts w:eastAsia="华文楷体"/>
          <w:smallCaps w:val="0"/>
          <w:sz w:val="24"/>
          <w:szCs w:val="24"/>
        </w:rPr>
        <w:t>（三）加强危废及医疗废物管控</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_Toc87116158 \h </w:instrText>
      </w:r>
      <w:r>
        <w:rPr>
          <w:rFonts w:eastAsia="华文楷体"/>
          <w:smallCaps w:val="0"/>
          <w:sz w:val="24"/>
          <w:szCs w:val="24"/>
        </w:rPr>
        <w:fldChar w:fldCharType="separate"/>
      </w:r>
      <w:r>
        <w:rPr>
          <w:rFonts w:eastAsia="华文楷体"/>
          <w:smallCaps w:val="0"/>
          <w:sz w:val="24"/>
          <w:szCs w:val="24"/>
        </w:rPr>
        <w:t>39</w:t>
      </w:r>
      <w:r>
        <w:rPr>
          <w:rFonts w:eastAsia="华文楷体"/>
          <w:smallCaps w:val="0"/>
          <w:sz w:val="24"/>
          <w:szCs w:val="24"/>
        </w:rPr>
        <w:fldChar w:fldCharType="end"/>
      </w:r>
      <w:r>
        <w:rPr>
          <w:rFonts w:eastAsia="华文楷体"/>
          <w:smallCaps w:val="0"/>
          <w:sz w:val="24"/>
          <w:szCs w:val="24"/>
        </w:rPr>
        <w:fldChar w:fldCharType="end"/>
      </w:r>
    </w:p>
    <w:p>
      <w:pPr>
        <w:pStyle w:val="22"/>
        <w:tabs>
          <w:tab w:val="right" w:leader="dot" w:pos="8296"/>
        </w:tabs>
        <w:snapToGrid w:val="0"/>
        <w:rPr>
          <w:rFonts w:eastAsia="华文楷体"/>
          <w:caps w:val="0"/>
          <w:sz w:val="24"/>
          <w:szCs w:val="24"/>
        </w:rPr>
      </w:pPr>
      <w:r>
        <w:fldChar w:fldCharType="begin"/>
      </w:r>
      <w:r>
        <w:instrText xml:space="preserve"> HYPERLINK \l "_Toc87116159" </w:instrText>
      </w:r>
      <w:r>
        <w:fldChar w:fldCharType="separate"/>
      </w:r>
      <w:r>
        <w:rPr>
          <w:rStyle w:val="36"/>
          <w:rFonts w:eastAsia="华文楷体"/>
          <w:caps w:val="0"/>
          <w:kern w:val="44"/>
          <w:sz w:val="24"/>
          <w:szCs w:val="24"/>
        </w:rPr>
        <w:t>七、完善管理体系，提升治理能力</w:t>
      </w:r>
      <w:r>
        <w:rPr>
          <w:rFonts w:eastAsia="华文楷体"/>
          <w:caps w:val="0"/>
          <w:sz w:val="24"/>
          <w:szCs w:val="24"/>
        </w:rPr>
        <w:tab/>
      </w:r>
      <w:r>
        <w:rPr>
          <w:rFonts w:eastAsia="华文楷体"/>
          <w:caps w:val="0"/>
          <w:sz w:val="24"/>
          <w:szCs w:val="24"/>
        </w:rPr>
        <w:fldChar w:fldCharType="begin"/>
      </w:r>
      <w:r>
        <w:rPr>
          <w:rFonts w:eastAsia="华文楷体"/>
          <w:caps w:val="0"/>
          <w:sz w:val="24"/>
          <w:szCs w:val="24"/>
        </w:rPr>
        <w:instrText xml:space="preserve"> PAGEREF _Toc87116159 \h </w:instrText>
      </w:r>
      <w:r>
        <w:rPr>
          <w:rFonts w:eastAsia="华文楷体"/>
          <w:caps w:val="0"/>
          <w:sz w:val="24"/>
          <w:szCs w:val="24"/>
        </w:rPr>
        <w:fldChar w:fldCharType="separate"/>
      </w:r>
      <w:r>
        <w:rPr>
          <w:rFonts w:eastAsia="华文楷体"/>
          <w:caps w:val="0"/>
          <w:sz w:val="24"/>
          <w:szCs w:val="24"/>
        </w:rPr>
        <w:t>40</w:t>
      </w:r>
      <w:r>
        <w:rPr>
          <w:rFonts w:eastAsia="华文楷体"/>
          <w:caps w:val="0"/>
          <w:sz w:val="24"/>
          <w:szCs w:val="24"/>
        </w:rPr>
        <w:fldChar w:fldCharType="end"/>
      </w:r>
      <w:r>
        <w:rPr>
          <w:rFonts w:eastAsia="华文楷体"/>
          <w: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"_Toc87116160" </w:instrText>
      </w:r>
      <w:r>
        <w:fldChar w:fldCharType="separate"/>
      </w:r>
      <w:r>
        <w:rPr>
          <w:rStyle w:val="36"/>
          <w:rFonts w:eastAsia="华文楷体"/>
          <w:smallCaps w:val="0"/>
          <w:kern w:val="0"/>
          <w:sz w:val="24"/>
          <w:szCs w:val="24"/>
        </w:rPr>
        <w:t>（一）健全党政部门责任体系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_Toc87116160 \h </w:instrText>
      </w:r>
      <w:r>
        <w:rPr>
          <w:rFonts w:eastAsia="华文楷体"/>
          <w:smallCaps w:val="0"/>
          <w:sz w:val="24"/>
          <w:szCs w:val="24"/>
        </w:rPr>
        <w:fldChar w:fldCharType="separate"/>
      </w:r>
      <w:r>
        <w:rPr>
          <w:rFonts w:eastAsia="华文楷体"/>
          <w:smallCaps w:val="0"/>
          <w:sz w:val="24"/>
          <w:szCs w:val="24"/>
        </w:rPr>
        <w:t>40</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"_Toc87116161" </w:instrText>
      </w:r>
      <w:r>
        <w:fldChar w:fldCharType="separate"/>
      </w:r>
      <w:r>
        <w:rPr>
          <w:rStyle w:val="36"/>
          <w:rFonts w:eastAsia="华文楷体"/>
          <w:smallCaps w:val="0"/>
          <w:kern w:val="0"/>
          <w:sz w:val="24"/>
          <w:szCs w:val="24"/>
        </w:rPr>
        <w:t>（二）健全企业责任体系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_Toc87116161 \h </w:instrText>
      </w:r>
      <w:r>
        <w:rPr>
          <w:rFonts w:eastAsia="华文楷体"/>
          <w:smallCaps w:val="0"/>
          <w:sz w:val="24"/>
          <w:szCs w:val="24"/>
        </w:rPr>
        <w:fldChar w:fldCharType="separate"/>
      </w:r>
      <w:r>
        <w:rPr>
          <w:rFonts w:eastAsia="华文楷体"/>
          <w:smallCaps w:val="0"/>
          <w:sz w:val="24"/>
          <w:szCs w:val="24"/>
        </w:rPr>
        <w:t>41</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"_Toc87116162" </w:instrText>
      </w:r>
      <w:r>
        <w:fldChar w:fldCharType="separate"/>
      </w:r>
      <w:r>
        <w:rPr>
          <w:rStyle w:val="36"/>
          <w:rFonts w:eastAsia="华文楷体"/>
          <w:smallCaps w:val="0"/>
          <w:kern w:val="0"/>
          <w:sz w:val="24"/>
          <w:szCs w:val="24"/>
        </w:rPr>
        <w:t>（三）健全全民行动体系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_Toc87116162 \h </w:instrText>
      </w:r>
      <w:r>
        <w:rPr>
          <w:rFonts w:eastAsia="华文楷体"/>
          <w:smallCaps w:val="0"/>
          <w:sz w:val="24"/>
          <w:szCs w:val="24"/>
        </w:rPr>
        <w:fldChar w:fldCharType="separate"/>
      </w:r>
      <w:r>
        <w:rPr>
          <w:rFonts w:eastAsia="华文楷体"/>
          <w:smallCaps w:val="0"/>
          <w:sz w:val="24"/>
          <w:szCs w:val="24"/>
        </w:rPr>
        <w:t>41</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"_Toc87116163" </w:instrText>
      </w:r>
      <w:r>
        <w:fldChar w:fldCharType="separate"/>
      </w:r>
      <w:r>
        <w:rPr>
          <w:rStyle w:val="36"/>
          <w:rFonts w:eastAsia="华文楷体"/>
          <w:smallCaps w:val="0"/>
          <w:kern w:val="0"/>
          <w:sz w:val="24"/>
          <w:szCs w:val="24"/>
        </w:rPr>
        <w:t>（四）健全法律法规政策体系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_Toc87116163 \h </w:instrText>
      </w:r>
      <w:r>
        <w:rPr>
          <w:rFonts w:eastAsia="华文楷体"/>
          <w:smallCaps w:val="0"/>
          <w:sz w:val="24"/>
          <w:szCs w:val="24"/>
        </w:rPr>
        <w:fldChar w:fldCharType="separate"/>
      </w:r>
      <w:r>
        <w:rPr>
          <w:rFonts w:eastAsia="华文楷体"/>
          <w:smallCaps w:val="0"/>
          <w:sz w:val="24"/>
          <w:szCs w:val="24"/>
        </w:rPr>
        <w:t>42</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"_Toc87116164" </w:instrText>
      </w:r>
      <w:r>
        <w:fldChar w:fldCharType="separate"/>
      </w:r>
      <w:r>
        <w:rPr>
          <w:rStyle w:val="36"/>
          <w:rFonts w:eastAsia="华文楷体"/>
          <w:smallCaps w:val="0"/>
          <w:kern w:val="0"/>
          <w:sz w:val="24"/>
          <w:szCs w:val="24"/>
        </w:rPr>
        <w:t>（五）健全环保市场体系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_Toc87116164 \h </w:instrText>
      </w:r>
      <w:r>
        <w:rPr>
          <w:rFonts w:eastAsia="华文楷体"/>
          <w:smallCaps w:val="0"/>
          <w:sz w:val="24"/>
          <w:szCs w:val="24"/>
        </w:rPr>
        <w:fldChar w:fldCharType="separate"/>
      </w:r>
      <w:r>
        <w:rPr>
          <w:rFonts w:eastAsia="华文楷体"/>
          <w:smallCaps w:val="0"/>
          <w:sz w:val="24"/>
          <w:szCs w:val="24"/>
        </w:rPr>
        <w:t>42</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"_Toc87116165" </w:instrText>
      </w:r>
      <w:r>
        <w:fldChar w:fldCharType="separate"/>
      </w:r>
      <w:r>
        <w:rPr>
          <w:rStyle w:val="36"/>
          <w:rFonts w:eastAsia="华文楷体"/>
          <w:smallCaps w:val="0"/>
          <w:kern w:val="0"/>
          <w:sz w:val="24"/>
          <w:szCs w:val="24"/>
        </w:rPr>
        <w:t>（六）健全信用体系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_Toc87116165 \h </w:instrText>
      </w:r>
      <w:r>
        <w:rPr>
          <w:rFonts w:eastAsia="华文楷体"/>
          <w:smallCaps w:val="0"/>
          <w:sz w:val="24"/>
          <w:szCs w:val="24"/>
        </w:rPr>
        <w:fldChar w:fldCharType="separate"/>
      </w:r>
      <w:r>
        <w:rPr>
          <w:rFonts w:eastAsia="华文楷体"/>
          <w:smallCaps w:val="0"/>
          <w:sz w:val="24"/>
          <w:szCs w:val="24"/>
        </w:rPr>
        <w:t>43</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"_Toc87116166" </w:instrText>
      </w:r>
      <w:r>
        <w:fldChar w:fldCharType="separate"/>
      </w:r>
      <w:r>
        <w:rPr>
          <w:rStyle w:val="36"/>
          <w:rFonts w:eastAsia="华文楷体"/>
          <w:smallCaps w:val="0"/>
          <w:kern w:val="0"/>
          <w:sz w:val="24"/>
          <w:szCs w:val="24"/>
        </w:rPr>
        <w:t>（七）健全环境监管体系</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_Toc87116166 \h </w:instrText>
      </w:r>
      <w:r>
        <w:rPr>
          <w:rFonts w:eastAsia="华文楷体"/>
          <w:smallCaps w:val="0"/>
          <w:sz w:val="24"/>
          <w:szCs w:val="24"/>
        </w:rPr>
        <w:fldChar w:fldCharType="separate"/>
      </w:r>
      <w:r>
        <w:rPr>
          <w:rFonts w:eastAsia="华文楷体"/>
          <w:smallCaps w:val="0"/>
          <w:sz w:val="24"/>
          <w:szCs w:val="24"/>
        </w:rPr>
        <w:t>43</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"_Toc87116167" </w:instrText>
      </w:r>
      <w:r>
        <w:fldChar w:fldCharType="separate"/>
      </w:r>
      <w:r>
        <w:rPr>
          <w:rStyle w:val="36"/>
          <w:rFonts w:eastAsia="华文楷体"/>
          <w:smallCaps w:val="0"/>
          <w:kern w:val="0"/>
          <w:sz w:val="24"/>
          <w:szCs w:val="24"/>
        </w:rPr>
        <w:t>（八）强化环境治理能力</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_Toc87116167 \h </w:instrText>
      </w:r>
      <w:r>
        <w:rPr>
          <w:rFonts w:eastAsia="华文楷体"/>
          <w:smallCaps w:val="0"/>
          <w:sz w:val="24"/>
          <w:szCs w:val="24"/>
        </w:rPr>
        <w:fldChar w:fldCharType="separate"/>
      </w:r>
      <w:r>
        <w:rPr>
          <w:rFonts w:eastAsia="华文楷体"/>
          <w:smallCaps w:val="0"/>
          <w:sz w:val="24"/>
          <w:szCs w:val="24"/>
        </w:rPr>
        <w:t>44</w:t>
      </w:r>
      <w:r>
        <w:rPr>
          <w:rFonts w:eastAsia="华文楷体"/>
          <w:smallCaps w:val="0"/>
          <w:sz w:val="24"/>
          <w:szCs w:val="24"/>
        </w:rPr>
        <w:fldChar w:fldCharType="end"/>
      </w:r>
      <w:r>
        <w:rPr>
          <w:rFonts w:eastAsia="华文楷体"/>
          <w:smallCaps w:val="0"/>
          <w:sz w:val="24"/>
          <w:szCs w:val="24"/>
        </w:rPr>
        <w:fldChar w:fldCharType="end"/>
      </w:r>
    </w:p>
    <w:p>
      <w:pPr>
        <w:pStyle w:val="22"/>
        <w:tabs>
          <w:tab w:val="right" w:leader="dot" w:pos="8296"/>
        </w:tabs>
        <w:snapToGrid w:val="0"/>
        <w:rPr>
          <w:rFonts w:eastAsia="华文楷体"/>
          <w:caps w:val="0"/>
          <w:sz w:val="24"/>
          <w:szCs w:val="24"/>
        </w:rPr>
      </w:pPr>
      <w:r>
        <w:fldChar w:fldCharType="begin"/>
      </w:r>
      <w:r>
        <w:instrText xml:space="preserve"> HYPERLINK \l "_Toc87116168" </w:instrText>
      </w:r>
      <w:r>
        <w:fldChar w:fldCharType="separate"/>
      </w:r>
      <w:r>
        <w:rPr>
          <w:rStyle w:val="36"/>
          <w:rFonts w:eastAsia="华文楷体"/>
          <w:caps w:val="0"/>
          <w:kern w:val="44"/>
          <w:sz w:val="24"/>
          <w:szCs w:val="24"/>
        </w:rPr>
        <w:t>八、强化项目支撑作用，加强规划实施保障</w:t>
      </w:r>
      <w:r>
        <w:rPr>
          <w:rFonts w:eastAsia="华文楷体"/>
          <w:caps w:val="0"/>
          <w:sz w:val="24"/>
          <w:szCs w:val="24"/>
        </w:rPr>
        <w:tab/>
      </w:r>
      <w:r>
        <w:rPr>
          <w:rFonts w:eastAsia="华文楷体"/>
          <w:caps w:val="0"/>
          <w:sz w:val="24"/>
          <w:szCs w:val="24"/>
        </w:rPr>
        <w:fldChar w:fldCharType="begin"/>
      </w:r>
      <w:r>
        <w:rPr>
          <w:rFonts w:eastAsia="华文楷体"/>
          <w:caps w:val="0"/>
          <w:sz w:val="24"/>
          <w:szCs w:val="24"/>
        </w:rPr>
        <w:instrText xml:space="preserve"> PAGEREF _Toc87116168 \h </w:instrText>
      </w:r>
      <w:r>
        <w:rPr>
          <w:rFonts w:eastAsia="华文楷体"/>
          <w:caps w:val="0"/>
          <w:sz w:val="24"/>
          <w:szCs w:val="24"/>
        </w:rPr>
        <w:fldChar w:fldCharType="separate"/>
      </w:r>
      <w:r>
        <w:rPr>
          <w:rFonts w:eastAsia="华文楷体"/>
          <w:caps w:val="0"/>
          <w:sz w:val="24"/>
          <w:szCs w:val="24"/>
        </w:rPr>
        <w:t>45</w:t>
      </w:r>
      <w:r>
        <w:rPr>
          <w:rFonts w:eastAsia="华文楷体"/>
          <w:caps w:val="0"/>
          <w:sz w:val="24"/>
          <w:szCs w:val="24"/>
        </w:rPr>
        <w:fldChar w:fldCharType="end"/>
      </w:r>
      <w:r>
        <w:rPr>
          <w:rFonts w:eastAsia="华文楷体"/>
          <w: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"_Toc87116169" </w:instrText>
      </w:r>
      <w:r>
        <w:fldChar w:fldCharType="separate"/>
      </w:r>
      <w:r>
        <w:rPr>
          <w:rStyle w:val="36"/>
          <w:rFonts w:eastAsia="华文楷体"/>
          <w:smallCaps w:val="0"/>
          <w:kern w:val="0"/>
          <w:sz w:val="24"/>
          <w:szCs w:val="24"/>
        </w:rPr>
        <w:t>（一）强化项目支撑作用</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_Toc87116169 \h </w:instrText>
      </w:r>
      <w:r>
        <w:rPr>
          <w:rFonts w:eastAsia="华文楷体"/>
          <w:smallCaps w:val="0"/>
          <w:sz w:val="24"/>
          <w:szCs w:val="24"/>
        </w:rPr>
        <w:fldChar w:fldCharType="separate"/>
      </w:r>
      <w:r>
        <w:rPr>
          <w:rFonts w:eastAsia="华文楷体"/>
          <w:smallCaps w:val="0"/>
          <w:sz w:val="24"/>
          <w:szCs w:val="24"/>
        </w:rPr>
        <w:t>45</w:t>
      </w:r>
      <w:r>
        <w:rPr>
          <w:rFonts w:eastAsia="华文楷体"/>
          <w:smallCaps w:val="0"/>
          <w:sz w:val="24"/>
          <w:szCs w:val="24"/>
        </w:rPr>
        <w:fldChar w:fldCharType="end"/>
      </w:r>
      <w:r>
        <w:rPr>
          <w:rFonts w:eastAsia="华文楷体"/>
          <w:smallCaps w:val="0"/>
          <w:sz w:val="24"/>
          <w:szCs w:val="24"/>
        </w:rPr>
        <w:fldChar w:fldCharType="end"/>
      </w:r>
    </w:p>
    <w:p>
      <w:pPr>
        <w:pStyle w:val="25"/>
        <w:tabs>
          <w:tab w:val="right" w:leader="dot" w:pos="8296"/>
        </w:tabs>
        <w:snapToGrid w:val="0"/>
        <w:rPr>
          <w:rFonts w:eastAsia="华文楷体"/>
          <w:smallCaps w:val="0"/>
          <w:sz w:val="24"/>
          <w:szCs w:val="24"/>
        </w:rPr>
      </w:pPr>
      <w:r>
        <w:fldChar w:fldCharType="begin"/>
      </w:r>
      <w:r>
        <w:instrText xml:space="preserve"> HYPERLINK \l "_Toc87116170" </w:instrText>
      </w:r>
      <w:r>
        <w:fldChar w:fldCharType="separate"/>
      </w:r>
      <w:r>
        <w:rPr>
          <w:rStyle w:val="36"/>
          <w:rFonts w:eastAsia="华文楷体"/>
          <w:smallCaps w:val="0"/>
          <w:kern w:val="0"/>
          <w:sz w:val="24"/>
          <w:szCs w:val="24"/>
        </w:rPr>
        <w:t>（二）加强规划实施保障</w:t>
      </w:r>
      <w:r>
        <w:rPr>
          <w:rFonts w:eastAsia="华文楷体"/>
          <w:smallCaps w:val="0"/>
          <w:sz w:val="24"/>
          <w:szCs w:val="24"/>
        </w:rPr>
        <w:tab/>
      </w:r>
      <w:r>
        <w:rPr>
          <w:rFonts w:eastAsia="华文楷体"/>
          <w:smallCaps w:val="0"/>
          <w:sz w:val="24"/>
          <w:szCs w:val="24"/>
        </w:rPr>
        <w:fldChar w:fldCharType="begin"/>
      </w:r>
      <w:r>
        <w:rPr>
          <w:rFonts w:eastAsia="华文楷体"/>
          <w:smallCaps w:val="0"/>
          <w:sz w:val="24"/>
          <w:szCs w:val="24"/>
        </w:rPr>
        <w:instrText xml:space="preserve"> PAGEREF _Toc87116170 \h </w:instrText>
      </w:r>
      <w:r>
        <w:rPr>
          <w:rFonts w:eastAsia="华文楷体"/>
          <w:smallCaps w:val="0"/>
          <w:sz w:val="24"/>
          <w:szCs w:val="24"/>
        </w:rPr>
        <w:fldChar w:fldCharType="separate"/>
      </w:r>
      <w:r>
        <w:rPr>
          <w:rFonts w:eastAsia="华文楷体"/>
          <w:smallCaps w:val="0"/>
          <w:sz w:val="24"/>
          <w:szCs w:val="24"/>
        </w:rPr>
        <w:t>46</w:t>
      </w:r>
      <w:r>
        <w:rPr>
          <w:rFonts w:eastAsia="华文楷体"/>
          <w:smallCaps w:val="0"/>
          <w:sz w:val="24"/>
          <w:szCs w:val="24"/>
        </w:rPr>
        <w:fldChar w:fldCharType="end"/>
      </w:r>
      <w:r>
        <w:rPr>
          <w:rFonts w:eastAsia="华文楷体"/>
          <w:smallCaps w:val="0"/>
          <w:sz w:val="24"/>
          <w:szCs w:val="24"/>
        </w:rPr>
        <w:fldChar w:fldCharType="end"/>
      </w:r>
    </w:p>
    <w:p>
      <w:pPr>
        <w:pStyle w:val="22"/>
        <w:tabs>
          <w:tab w:val="right" w:leader="dot" w:pos="8296"/>
        </w:tabs>
        <w:snapToGrid w:val="0"/>
        <w:rPr>
          <w:rFonts w:eastAsia="华文楷体"/>
          <w:b w:val="0"/>
          <w:bCs w:val="0"/>
          <w:caps w:val="0"/>
          <w:sz w:val="24"/>
          <w:szCs w:val="24"/>
        </w:rPr>
      </w:pPr>
      <w:r>
        <w:fldChar w:fldCharType="begin"/>
      </w:r>
      <w:r>
        <w:instrText xml:space="preserve"> HYPERLINK \l "_Toc87116171" </w:instrText>
      </w:r>
      <w:r>
        <w:fldChar w:fldCharType="separate"/>
      </w:r>
      <w:r>
        <w:rPr>
          <w:rStyle w:val="36"/>
          <w:rFonts w:eastAsia="华文楷体"/>
          <w:b w:val="0"/>
          <w:bCs w:val="0"/>
          <w:caps w:val="0"/>
          <w:kern w:val="44"/>
          <w:sz w:val="24"/>
          <w:szCs w:val="24"/>
        </w:rPr>
        <w:t>附表 宁乡市“十四五”生态建设和环境保护重点建设项目表</w:t>
      </w:r>
      <w:r>
        <w:rPr>
          <w:rFonts w:eastAsia="华文楷体"/>
          <w:b w:val="0"/>
          <w:bCs w:val="0"/>
          <w:caps w:val="0"/>
          <w:sz w:val="24"/>
          <w:szCs w:val="24"/>
        </w:rPr>
        <w:tab/>
      </w:r>
      <w:r>
        <w:rPr>
          <w:rFonts w:eastAsia="华文楷体"/>
          <w:b w:val="0"/>
          <w:bCs w:val="0"/>
          <w:caps w:val="0"/>
          <w:sz w:val="24"/>
          <w:szCs w:val="24"/>
        </w:rPr>
        <w:fldChar w:fldCharType="begin"/>
      </w:r>
      <w:r>
        <w:rPr>
          <w:rFonts w:eastAsia="华文楷体"/>
          <w:b w:val="0"/>
          <w:bCs w:val="0"/>
          <w:caps w:val="0"/>
          <w:sz w:val="24"/>
          <w:szCs w:val="24"/>
        </w:rPr>
        <w:instrText xml:space="preserve"> PAGEREF _Toc87116171 \h </w:instrText>
      </w:r>
      <w:r>
        <w:rPr>
          <w:rFonts w:eastAsia="华文楷体"/>
          <w:b w:val="0"/>
          <w:bCs w:val="0"/>
          <w:caps w:val="0"/>
          <w:sz w:val="24"/>
          <w:szCs w:val="24"/>
        </w:rPr>
        <w:fldChar w:fldCharType="separate"/>
      </w:r>
      <w:r>
        <w:rPr>
          <w:rFonts w:eastAsia="华文楷体"/>
          <w:b w:val="0"/>
          <w:bCs w:val="0"/>
          <w:caps w:val="0"/>
          <w:sz w:val="24"/>
          <w:szCs w:val="24"/>
        </w:rPr>
        <w:t>48</w:t>
      </w:r>
      <w:r>
        <w:rPr>
          <w:rFonts w:eastAsia="华文楷体"/>
          <w:b w:val="0"/>
          <w:bCs w:val="0"/>
          <w:caps w:val="0"/>
          <w:sz w:val="24"/>
          <w:szCs w:val="24"/>
        </w:rPr>
        <w:fldChar w:fldCharType="end"/>
      </w:r>
      <w:r>
        <w:rPr>
          <w:rFonts w:eastAsia="华文楷体"/>
          <w:b w:val="0"/>
          <w:bCs w:val="0"/>
          <w:caps w:val="0"/>
          <w:sz w:val="24"/>
          <w:szCs w:val="24"/>
        </w:rPr>
        <w:fldChar w:fldCharType="end"/>
      </w:r>
    </w:p>
    <w:p>
      <w:pPr>
        <w:pStyle w:val="22"/>
        <w:tabs>
          <w:tab w:val="right" w:leader="dot" w:pos="8296"/>
        </w:tabs>
        <w:snapToGrid w:val="0"/>
        <w:rPr>
          <w:rFonts w:eastAsia="华文楷体" w:cs="黑体"/>
          <w:b w:val="0"/>
          <w:bCs w:val="0"/>
          <w:caps w:val="0"/>
          <w:sz w:val="24"/>
          <w:szCs w:val="24"/>
        </w:rPr>
      </w:pPr>
      <w:r>
        <w:fldChar w:fldCharType="begin"/>
      </w:r>
      <w:r>
        <w:instrText xml:space="preserve"> HYPERLINK \l "_Toc87116172" </w:instrText>
      </w:r>
      <w:r>
        <w:fldChar w:fldCharType="separate"/>
      </w:r>
      <w:r>
        <w:rPr>
          <w:rStyle w:val="36"/>
          <w:rFonts w:eastAsia="华文楷体"/>
          <w:b w:val="0"/>
          <w:bCs w:val="0"/>
          <w:caps w:val="0"/>
          <w:sz w:val="24"/>
          <w:szCs w:val="24"/>
        </w:rPr>
        <w:t>意见汇总表</w:t>
      </w:r>
      <w:r>
        <w:rPr>
          <w:rFonts w:eastAsia="华文楷体"/>
          <w:b w:val="0"/>
          <w:bCs w:val="0"/>
          <w:caps w:val="0"/>
          <w:sz w:val="24"/>
          <w:szCs w:val="24"/>
        </w:rPr>
        <w:tab/>
      </w:r>
      <w:r>
        <w:rPr>
          <w:rFonts w:eastAsia="华文楷体"/>
          <w:b w:val="0"/>
          <w:bCs w:val="0"/>
          <w:caps w:val="0"/>
          <w:sz w:val="24"/>
          <w:szCs w:val="24"/>
        </w:rPr>
        <w:fldChar w:fldCharType="begin"/>
      </w:r>
      <w:r>
        <w:rPr>
          <w:rFonts w:eastAsia="华文楷体"/>
          <w:b w:val="0"/>
          <w:bCs w:val="0"/>
          <w:caps w:val="0"/>
          <w:sz w:val="24"/>
          <w:szCs w:val="24"/>
        </w:rPr>
        <w:instrText xml:space="preserve"> PAGEREF _Toc87116172 \h </w:instrText>
      </w:r>
      <w:r>
        <w:rPr>
          <w:rFonts w:eastAsia="华文楷体"/>
          <w:b w:val="0"/>
          <w:bCs w:val="0"/>
          <w:caps w:val="0"/>
          <w:sz w:val="24"/>
          <w:szCs w:val="24"/>
        </w:rPr>
        <w:fldChar w:fldCharType="separate"/>
      </w:r>
      <w:r>
        <w:rPr>
          <w:rFonts w:eastAsia="华文楷体"/>
          <w:b w:val="0"/>
          <w:bCs w:val="0"/>
          <w:caps w:val="0"/>
          <w:sz w:val="24"/>
          <w:szCs w:val="24"/>
        </w:rPr>
        <w:t>51</w:t>
      </w:r>
      <w:r>
        <w:rPr>
          <w:rFonts w:eastAsia="华文楷体"/>
          <w:b w:val="0"/>
          <w:bCs w:val="0"/>
          <w:caps w:val="0"/>
          <w:sz w:val="24"/>
          <w:szCs w:val="24"/>
        </w:rPr>
        <w:fldChar w:fldCharType="end"/>
      </w:r>
      <w:r>
        <w:rPr>
          <w:rFonts w:eastAsia="华文楷体"/>
          <w:b w:val="0"/>
          <w:bCs w:val="0"/>
          <w:caps w:val="0"/>
          <w:sz w:val="24"/>
          <w:szCs w:val="24"/>
        </w:rPr>
        <w:fldChar w:fldCharType="end"/>
      </w:r>
    </w:p>
    <w:p>
      <w:pPr>
        <w:pStyle w:val="2"/>
      </w:pPr>
      <w:r>
        <w:rPr>
          <w:rFonts w:hint="eastAsia"/>
        </w:rPr>
        <w:fldChar w:fldCharType="end"/>
      </w:r>
    </w:p>
    <w:p>
      <w:pPr>
        <w:pStyle w:val="3"/>
        <w:spacing w:before="0" w:beforeLines="0" w:after="0" w:afterLines="0" w:line="600" w:lineRule="exact"/>
        <w:ind w:firstLine="630" w:firstLineChars="196"/>
        <w:jc w:val="both"/>
        <w:sectPr>
          <w:pgSz w:w="11906" w:h="16838"/>
          <w:pgMar w:top="1440" w:right="1800" w:bottom="1440" w:left="1800" w:header="851" w:footer="992" w:gutter="0"/>
          <w:cols w:space="720" w:num="1"/>
          <w:docGrid w:type="lines" w:linePitch="312" w:charSpace="0"/>
        </w:sectPr>
      </w:pPr>
    </w:p>
    <w:p>
      <w:pPr>
        <w:pStyle w:val="3"/>
        <w:spacing w:before="0" w:beforeLines="0" w:after="0" w:afterLines="0" w:line="600" w:lineRule="exact"/>
        <w:ind w:firstLine="630" w:firstLineChars="196"/>
        <w:jc w:val="both"/>
      </w:pPr>
      <w:bookmarkStart w:id="0" w:name="_Toc31488"/>
      <w:bookmarkStart w:id="1" w:name="_Toc87116130"/>
      <w:bookmarkStart w:id="2" w:name="_Toc52977800"/>
      <w:bookmarkStart w:id="3" w:name="_Toc45134566"/>
      <w:bookmarkStart w:id="4" w:name="_Toc48404690"/>
      <w:bookmarkStart w:id="5" w:name="_Toc69380480"/>
      <w:r>
        <w:t>一、分析发展形势，把握发展机遇</w:t>
      </w:r>
      <w:bookmarkEnd w:id="0"/>
      <w:bookmarkEnd w:id="1"/>
    </w:p>
    <w:p>
      <w:pPr>
        <w:spacing w:line="600" w:lineRule="exact"/>
        <w:ind w:firstLine="640" w:firstLineChars="200"/>
        <w:rPr>
          <w:rFonts w:eastAsia="仿宋_GB2312"/>
          <w:sz w:val="32"/>
          <w:szCs w:val="32"/>
        </w:rPr>
      </w:pPr>
      <w:r>
        <w:rPr>
          <w:rFonts w:hint="eastAsia" w:eastAsia="仿宋_GB2312"/>
          <w:sz w:val="32"/>
          <w:szCs w:val="32"/>
        </w:rPr>
        <w:t>“十四五”规划是我国完成全面建成小康社会发展目标，进入全新历史阶段后第一个五年规划，是未来五年全市上下推进社会主义现代化的行动指南，对于宁乡市推进全面建设社会主义现代化各项工作具有重要意义。为统筹谋划“十四五”生态环境保护的目标指标、重大任务和保障措施，持续改善宁乡市生态环境质量，建设工业强市、幸福宁乡，根据</w:t>
      </w:r>
      <w:r>
        <w:rPr>
          <w:rFonts w:eastAsia="仿宋_GB2312"/>
          <w:sz w:val="32"/>
          <w:szCs w:val="32"/>
        </w:rPr>
        <w:t>《</w:t>
      </w:r>
      <w:r>
        <w:rPr>
          <w:rFonts w:hint="eastAsia" w:eastAsia="仿宋_GB2312"/>
          <w:sz w:val="32"/>
          <w:szCs w:val="32"/>
        </w:rPr>
        <w:t>长沙市</w:t>
      </w:r>
      <w:r>
        <w:rPr>
          <w:rFonts w:eastAsia="仿宋_GB2312"/>
          <w:sz w:val="32"/>
          <w:szCs w:val="32"/>
        </w:rPr>
        <w:t>“十四五”生态环境保护规划》</w:t>
      </w:r>
      <w:r>
        <w:rPr>
          <w:rFonts w:hint="eastAsia" w:eastAsia="仿宋_GB2312"/>
          <w:sz w:val="32"/>
          <w:szCs w:val="32"/>
        </w:rPr>
        <w:t>、</w:t>
      </w:r>
      <w:r>
        <w:rPr>
          <w:rFonts w:hint="eastAsia" w:ascii="仿宋_GB2312" w:hAnsi="仿宋_GB2312" w:eastAsia="仿宋_GB2312" w:cs="仿宋_GB2312"/>
          <w:sz w:val="32"/>
          <w:szCs w:val="32"/>
        </w:rPr>
        <w:t>《宁乡市国民经济和社会发展第十</w:t>
      </w:r>
      <w:r>
        <w:rPr>
          <w:rFonts w:hint="eastAsia" w:eastAsia="仿宋_GB2312"/>
          <w:sz w:val="32"/>
          <w:szCs w:val="32"/>
        </w:rPr>
        <w:t>四个五年规划纲要》等要求，制定本规划。</w:t>
      </w:r>
    </w:p>
    <w:p>
      <w:pPr>
        <w:keepNext/>
        <w:keepLines/>
        <w:spacing w:line="600" w:lineRule="exact"/>
        <w:ind w:firstLine="643" w:firstLineChars="200"/>
        <w:jc w:val="left"/>
        <w:outlineLvl w:val="1"/>
        <w:rPr>
          <w:rFonts w:eastAsia="楷体_GB2312" w:cs="宋体"/>
          <w:b/>
          <w:bCs/>
          <w:sz w:val="32"/>
          <w:szCs w:val="32"/>
        </w:rPr>
      </w:pPr>
      <w:bookmarkStart w:id="6" w:name="_Toc22221"/>
      <w:bookmarkStart w:id="7" w:name="_Toc7972"/>
      <w:bookmarkStart w:id="8" w:name="_Toc31326"/>
      <w:bookmarkStart w:id="9" w:name="_Toc75857497"/>
      <w:bookmarkStart w:id="10" w:name="_Toc87116131"/>
      <w:bookmarkStart w:id="11" w:name="_Toc72152375"/>
      <w:r>
        <w:rPr>
          <w:rFonts w:hint="eastAsia" w:eastAsia="楷体_GB2312" w:cs="宋体"/>
          <w:b/>
          <w:bCs/>
          <w:sz w:val="32"/>
          <w:szCs w:val="32"/>
        </w:rPr>
        <w:t>（一）“十三五”生态环境保护成效显著</w:t>
      </w:r>
      <w:bookmarkEnd w:id="6"/>
      <w:bookmarkEnd w:id="7"/>
      <w:bookmarkEnd w:id="8"/>
      <w:bookmarkEnd w:id="9"/>
      <w:bookmarkEnd w:id="10"/>
    </w:p>
    <w:p>
      <w:pPr>
        <w:pBdr>
          <w:bottom w:val="single" w:color="FFFFFF" w:sz="4" w:space="31"/>
        </w:pBdr>
        <w:tabs>
          <w:tab w:val="left" w:pos="1440"/>
        </w:tabs>
        <w:adjustRightInd w:val="0"/>
        <w:spacing w:line="600" w:lineRule="exact"/>
        <w:ind w:firstLine="640" w:firstLineChars="200"/>
        <w:rPr>
          <w:rFonts w:eastAsia="仿宋_GB2312"/>
          <w:sz w:val="32"/>
          <w:szCs w:val="32"/>
        </w:rPr>
      </w:pPr>
      <w:r>
        <w:rPr>
          <w:rFonts w:hint="eastAsia" w:eastAsia="仿宋_GB2312"/>
          <w:sz w:val="32"/>
          <w:szCs w:val="32"/>
        </w:rPr>
        <w:t>“十三五”期间，全市环境保护工作坚持以习近平生态文明思想为统领，坚决落实生态环境保护各项政策措施，大力推进生态环境保护三大攻坚战，加大环境保护执法监管力度，开展环保督察交办突出环境问题整治行动，着力解决涉及人民群众根本利益的突出环境问题，切实维护环境安全，各项任务总体上完成良好。2019年宁乡市获评首届湖南省生态文明建设示范市、2020年获评国家生态文明建设示范市、沩水河获评2020年度湖南省“美丽河湖”优秀案例。</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1.</w:t>
      </w:r>
      <w:r>
        <w:rPr>
          <w:rFonts w:eastAsia="仿宋_GB2312"/>
          <w:b/>
          <w:bCs/>
          <w:sz w:val="32"/>
          <w:szCs w:val="32"/>
        </w:rPr>
        <w:t>生态环境保护战略定力不断加强</w:t>
      </w:r>
      <w:r>
        <w:rPr>
          <w:rFonts w:hint="eastAsia" w:eastAsia="仿宋_GB2312"/>
          <w:b/>
          <w:bCs/>
          <w:sz w:val="32"/>
          <w:szCs w:val="32"/>
        </w:rPr>
        <w:t>。</w:t>
      </w:r>
      <w:r>
        <w:rPr>
          <w:rFonts w:eastAsia="仿宋_GB2312"/>
          <w:sz w:val="32"/>
          <w:szCs w:val="32"/>
        </w:rPr>
        <w:t>市委、市政府坚决扛起生态文明建设的政治责任，定期研究部署生态环境保护工作。成立生态环境保护委员会，坚持一季一调度、一季一讲评，及时研究解决环保领域重点</w:t>
      </w:r>
      <w:r>
        <w:rPr>
          <w:rFonts w:hint="eastAsia" w:eastAsia="仿宋_GB2312"/>
          <w:sz w:val="32"/>
          <w:szCs w:val="32"/>
        </w:rPr>
        <w:t>问题</w:t>
      </w:r>
      <w:r>
        <w:rPr>
          <w:rFonts w:eastAsia="仿宋_GB2312"/>
          <w:sz w:val="32"/>
          <w:szCs w:val="32"/>
        </w:rPr>
        <w:t>。相继成立蓝天保卫战工作领导小组、“除臭剿劣”攻坚指挥部、整治非法采砂洗砂工作领导小组、人居环境整治工作领导小组、矿山整治工作领导小组等议事机构及工作专班，专门负责相关领域生态文明建设，形成了齐抓共管、高效联动的良好工作格局</w:t>
      </w:r>
      <w:r>
        <w:rPr>
          <w:rFonts w:hint="eastAsia" w:eastAsia="仿宋_GB2312"/>
          <w:sz w:val="32"/>
          <w:szCs w:val="32"/>
        </w:rPr>
        <w:t>；</w:t>
      </w:r>
      <w:r>
        <w:rPr>
          <w:rFonts w:eastAsia="仿宋_GB2312"/>
          <w:sz w:val="32"/>
          <w:szCs w:val="32"/>
        </w:rPr>
        <w:t>强力推进突出生态环境问题整改，思想认识程度之深、污染治理力度之大、监管执法尺度之严、环境治理改善之显著前所未有。</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2.</w:t>
      </w:r>
      <w:r>
        <w:rPr>
          <w:rFonts w:eastAsia="仿宋_GB2312"/>
          <w:b/>
          <w:bCs/>
          <w:sz w:val="32"/>
          <w:szCs w:val="32"/>
        </w:rPr>
        <w:t>生态环境保护机制体制日趋完善</w:t>
      </w:r>
      <w:r>
        <w:rPr>
          <w:rFonts w:hint="eastAsia" w:eastAsia="仿宋_GB2312"/>
          <w:b/>
          <w:bCs/>
          <w:sz w:val="32"/>
          <w:szCs w:val="32"/>
        </w:rPr>
        <w:t>。</w:t>
      </w:r>
      <w:r>
        <w:rPr>
          <w:rFonts w:hint="eastAsia" w:eastAsia="仿宋_GB2312"/>
          <w:sz w:val="32"/>
          <w:szCs w:val="32"/>
        </w:rPr>
        <w:t>先后出台</w:t>
      </w:r>
      <w:r>
        <w:rPr>
          <w:rStyle w:val="100"/>
          <w:rFonts w:eastAsia="仿宋_GB2312"/>
          <w:sz w:val="32"/>
          <w:szCs w:val="32"/>
        </w:rPr>
        <w:t>《宁乡县环境保护中长期规划（2016-2030年）》</w:t>
      </w:r>
      <w:r>
        <w:rPr>
          <w:rStyle w:val="100"/>
          <w:rFonts w:hint="eastAsia" w:eastAsia="仿宋_GB2312"/>
          <w:sz w:val="32"/>
          <w:szCs w:val="32"/>
        </w:rPr>
        <w:t>、</w:t>
      </w:r>
      <w:r>
        <w:rPr>
          <w:rFonts w:hint="eastAsia" w:eastAsia="仿宋_GB2312"/>
          <w:sz w:val="32"/>
          <w:szCs w:val="32"/>
        </w:rPr>
        <w:t>《宁乡市生态文明建设规划(2018-2022年)》、</w:t>
      </w:r>
      <w:r>
        <w:rPr>
          <w:rStyle w:val="100"/>
          <w:rFonts w:eastAsia="仿宋_GB2312"/>
          <w:sz w:val="32"/>
          <w:szCs w:val="32"/>
        </w:rPr>
        <w:t>《宁乡市“强力推进环境大治理坚决打赢蓝天保卫战”三年行动计划（2018-2020年）》</w:t>
      </w:r>
      <w:r>
        <w:rPr>
          <w:rStyle w:val="100"/>
          <w:rFonts w:hint="eastAsia" w:eastAsia="仿宋_GB2312"/>
          <w:sz w:val="32"/>
          <w:szCs w:val="32"/>
        </w:rPr>
        <w:t>、</w:t>
      </w:r>
      <w:r>
        <w:rPr>
          <w:rStyle w:val="100"/>
          <w:rFonts w:eastAsia="仿宋_GB2312"/>
          <w:sz w:val="32"/>
          <w:szCs w:val="32"/>
        </w:rPr>
        <w:t>《宁乡市“除臭剿劣”攻坚战三年行动计划（2018-2020年）》</w:t>
      </w:r>
      <w:r>
        <w:rPr>
          <w:rStyle w:val="100"/>
          <w:rFonts w:hint="eastAsia" w:eastAsia="仿宋_GB2312"/>
          <w:sz w:val="32"/>
          <w:szCs w:val="32"/>
        </w:rPr>
        <w:t>、</w:t>
      </w:r>
      <w:r>
        <w:rPr>
          <w:rFonts w:hint="eastAsia" w:eastAsia="仿宋_GB2312"/>
          <w:sz w:val="32"/>
          <w:szCs w:val="32"/>
        </w:rPr>
        <w:t>《宁乡市环境保护工作责任规定》等系列文件，明确了各阶段生态环境保护重点工作任务以及各级党委政府的环保职责、部门行业的监管责任、园区乡镇街道的属地责任和企事业单位的主体责任。实施生态文明建设领导干部政绩考核评价制度，健全全市河湖水系及管理体制，探索编制自然资源资产负债表，建立矿山生态修复的补偿制度等，环境监管能力建设得到加强，环保监管体系逐步完善。推动环境公益诉讼，落实污染举报制度，为公众行使知情权、参与权和监督权创造条件。</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3.</w:t>
      </w:r>
      <w:r>
        <w:rPr>
          <w:rFonts w:eastAsia="仿宋_GB2312"/>
          <w:b/>
          <w:bCs/>
          <w:sz w:val="32"/>
          <w:szCs w:val="32"/>
        </w:rPr>
        <w:t>污染防治攻坚成效显著</w:t>
      </w:r>
      <w:r>
        <w:rPr>
          <w:rFonts w:hint="eastAsia" w:eastAsia="仿宋_GB2312"/>
          <w:b/>
          <w:bCs/>
          <w:sz w:val="32"/>
          <w:szCs w:val="32"/>
        </w:rPr>
        <w:t>。</w:t>
      </w:r>
      <w:r>
        <w:rPr>
          <w:rFonts w:eastAsia="仿宋_GB2312"/>
          <w:sz w:val="32"/>
          <w:szCs w:val="32"/>
        </w:rPr>
        <w:t>“十三五”期间</w:t>
      </w:r>
      <w:r>
        <w:rPr>
          <w:rFonts w:hint="eastAsia" w:eastAsia="仿宋_GB2312"/>
          <w:sz w:val="32"/>
          <w:szCs w:val="32"/>
        </w:rPr>
        <w:t>，</w:t>
      </w:r>
      <w:r>
        <w:rPr>
          <w:rFonts w:eastAsia="仿宋_GB2312"/>
          <w:sz w:val="32"/>
          <w:szCs w:val="32"/>
        </w:rPr>
        <w:t>“清霾”、“碧水”、“净土”、“静音”行动齐头并进，环境质量切实改善。20</w:t>
      </w:r>
      <w:r>
        <w:rPr>
          <w:rFonts w:hint="eastAsia" w:eastAsia="仿宋_GB2312"/>
          <w:sz w:val="32"/>
          <w:szCs w:val="32"/>
        </w:rPr>
        <w:t>20</w:t>
      </w:r>
      <w:r>
        <w:rPr>
          <w:rFonts w:eastAsia="仿宋_GB2312"/>
          <w:sz w:val="32"/>
          <w:szCs w:val="32"/>
        </w:rPr>
        <w:t>年宁乡市城区空气质量优良天数3</w:t>
      </w:r>
      <w:r>
        <w:rPr>
          <w:rFonts w:hint="eastAsia" w:eastAsia="仿宋_GB2312"/>
          <w:sz w:val="32"/>
          <w:szCs w:val="32"/>
        </w:rPr>
        <w:t>54</w:t>
      </w:r>
      <w:r>
        <w:rPr>
          <w:rFonts w:eastAsia="仿宋_GB2312"/>
          <w:sz w:val="32"/>
          <w:szCs w:val="32"/>
        </w:rPr>
        <w:t>天，空气质量优良率为</w:t>
      </w:r>
      <w:r>
        <w:rPr>
          <w:rFonts w:hint="eastAsia" w:eastAsia="仿宋_GB2312"/>
          <w:sz w:val="32"/>
          <w:szCs w:val="32"/>
        </w:rPr>
        <w:t>96.4</w:t>
      </w:r>
      <w:r>
        <w:rPr>
          <w:rFonts w:eastAsia="仿宋_GB2312"/>
          <w:sz w:val="32"/>
          <w:szCs w:val="32"/>
        </w:rPr>
        <w:t>%，大气污染物浓度下降明显</w:t>
      </w:r>
      <w:r>
        <w:rPr>
          <w:rFonts w:hint="eastAsia" w:eastAsia="仿宋_GB2312"/>
          <w:sz w:val="32"/>
          <w:szCs w:val="32"/>
        </w:rPr>
        <w:t>，</w:t>
      </w:r>
      <w:r>
        <w:rPr>
          <w:rFonts w:eastAsia="仿宋_GB2312"/>
          <w:sz w:val="32"/>
          <w:szCs w:val="32"/>
        </w:rPr>
        <w:t>达国家Ⅱ级标准。与2015年相比，二氧化硫、二氧化氮、可吸入颗粒物平均浓度有所下降，减幅分布为</w:t>
      </w:r>
      <w:r>
        <w:rPr>
          <w:rFonts w:hint="eastAsia" w:eastAsia="仿宋_GB2312"/>
          <w:sz w:val="32"/>
          <w:szCs w:val="32"/>
        </w:rPr>
        <w:t>85.2</w:t>
      </w:r>
      <w:r>
        <w:rPr>
          <w:rFonts w:eastAsia="仿宋_GB2312"/>
          <w:sz w:val="32"/>
          <w:szCs w:val="32"/>
        </w:rPr>
        <w:t>%、</w:t>
      </w:r>
      <w:r>
        <w:rPr>
          <w:rFonts w:hint="eastAsia" w:eastAsia="仿宋_GB2312"/>
          <w:sz w:val="32"/>
          <w:szCs w:val="32"/>
        </w:rPr>
        <w:t>10.0</w:t>
      </w:r>
      <w:r>
        <w:rPr>
          <w:rFonts w:eastAsia="仿宋_GB2312"/>
          <w:sz w:val="32"/>
          <w:szCs w:val="32"/>
        </w:rPr>
        <w:t>%和</w:t>
      </w:r>
      <w:r>
        <w:rPr>
          <w:rFonts w:hint="eastAsia" w:eastAsia="仿宋_GB2312"/>
          <w:sz w:val="32"/>
          <w:szCs w:val="32"/>
        </w:rPr>
        <w:t>31.0</w:t>
      </w:r>
      <w:r>
        <w:rPr>
          <w:rFonts w:eastAsia="仿宋_GB2312"/>
          <w:sz w:val="32"/>
          <w:szCs w:val="32"/>
        </w:rPr>
        <w:t>%。20</w:t>
      </w:r>
      <w:r>
        <w:rPr>
          <w:rFonts w:hint="eastAsia" w:eastAsia="仿宋_GB2312"/>
          <w:sz w:val="32"/>
          <w:szCs w:val="32"/>
        </w:rPr>
        <w:t>18</w:t>
      </w:r>
      <w:r>
        <w:rPr>
          <w:rFonts w:eastAsia="仿宋_GB2312"/>
          <w:sz w:val="32"/>
          <w:szCs w:val="32"/>
        </w:rPr>
        <w:t>年</w:t>
      </w:r>
      <w:r>
        <w:rPr>
          <w:rFonts w:hint="eastAsia" w:eastAsia="仿宋_GB2312"/>
          <w:sz w:val="32"/>
          <w:szCs w:val="32"/>
        </w:rPr>
        <w:t>以来</w:t>
      </w:r>
      <w:r>
        <w:rPr>
          <w:rFonts w:eastAsia="仿宋_GB2312"/>
          <w:sz w:val="32"/>
          <w:szCs w:val="32"/>
        </w:rPr>
        <w:t>宁乡市集中式生活饮用水水源水质</w:t>
      </w:r>
      <w:r>
        <w:rPr>
          <w:rFonts w:hint="eastAsia" w:eastAsia="仿宋_GB2312"/>
          <w:sz w:val="32"/>
          <w:szCs w:val="32"/>
        </w:rPr>
        <w:t>连续三年</w:t>
      </w:r>
      <w:r>
        <w:rPr>
          <w:rFonts w:eastAsia="仿宋_GB2312"/>
          <w:sz w:val="32"/>
          <w:szCs w:val="32"/>
        </w:rPr>
        <w:t>达标率100%，沩江、靳江等主要流域断面水质稳定达Ⅲ类</w:t>
      </w:r>
      <w:r>
        <w:rPr>
          <w:rFonts w:hint="eastAsia" w:eastAsia="仿宋_GB2312"/>
          <w:sz w:val="32"/>
          <w:szCs w:val="32"/>
        </w:rPr>
        <w:t>及以上</w:t>
      </w:r>
      <w:r>
        <w:rPr>
          <w:rFonts w:eastAsia="仿宋_GB2312"/>
          <w:sz w:val="32"/>
          <w:szCs w:val="32"/>
        </w:rPr>
        <w:t>标准。土壤污染防治方面，开展种植结构调整、耕地重金属污染治理、农业面源污染治理和矿山污染专项整治。严格开展生态环境问题整治</w:t>
      </w:r>
      <w:r>
        <w:rPr>
          <w:rFonts w:hint="eastAsia" w:eastAsia="仿宋_GB2312"/>
          <w:sz w:val="32"/>
          <w:szCs w:val="32"/>
        </w:rPr>
        <w:t>，</w:t>
      </w:r>
      <w:r>
        <w:rPr>
          <w:rFonts w:eastAsia="仿宋_GB2312"/>
          <w:sz w:val="32"/>
          <w:szCs w:val="32"/>
        </w:rPr>
        <w:t>完成241个农用土壤污染状况详查，完成灰汤大坝塘、黄材胜溪电解锰等疑似地块场地调查、技术方案编制等工作，建立疑似污染地块名录。</w:t>
      </w:r>
      <w:r>
        <w:rPr>
          <w:rFonts w:hint="eastAsia" w:eastAsia="仿宋_GB2312"/>
          <w:sz w:val="32"/>
          <w:szCs w:val="32"/>
        </w:rPr>
        <w:t>黄材水库周边历史遗留锰渣治理、黄材镇月山村石煤开采点等土壤污染风险管控项目均完成工程建设并验收。</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4.</w:t>
      </w:r>
      <w:r>
        <w:rPr>
          <w:rFonts w:eastAsia="仿宋_GB2312"/>
          <w:b/>
          <w:bCs/>
          <w:sz w:val="32"/>
          <w:szCs w:val="32"/>
        </w:rPr>
        <w:t>执法监管更加有力</w:t>
      </w:r>
      <w:r>
        <w:rPr>
          <w:rFonts w:hint="eastAsia" w:eastAsia="仿宋_GB2312"/>
          <w:b/>
          <w:bCs/>
          <w:sz w:val="32"/>
          <w:szCs w:val="32"/>
        </w:rPr>
        <w:t>。</w:t>
      </w:r>
      <w:r>
        <w:rPr>
          <w:rFonts w:eastAsia="仿宋_GB2312"/>
          <w:sz w:val="32"/>
          <w:szCs w:val="32"/>
        </w:rPr>
        <w:t>以网格化监管为基础，以双随机执法为抓手，以落实环境执法大练兵为契机，全面推进环境执法工作。全面落实“谁监管、谁负责”机制，做到有案必查、有案必立，严厉打击环境违法行为。</w:t>
      </w:r>
      <w:r>
        <w:rPr>
          <w:rFonts w:hint="eastAsia" w:eastAsia="仿宋_GB2312"/>
          <w:sz w:val="32"/>
          <w:szCs w:val="32"/>
        </w:rPr>
        <w:t>“十三五”期间，宁乡市实施生态环境行政处罚258起，处罚金额1182.06万元；重大案件60件（查封扣押48起、移送行政拘留12起)，提高了企业的环保主体意识。</w:t>
      </w:r>
      <w:r>
        <w:rPr>
          <w:rFonts w:eastAsia="仿宋_GB2312"/>
          <w:sz w:val="32"/>
          <w:szCs w:val="32"/>
        </w:rPr>
        <w:t>在宁乡电视台“环保在行动”栏目和环保新闻报道100多期次</w:t>
      </w:r>
      <w:r>
        <w:rPr>
          <w:rFonts w:hint="eastAsia" w:eastAsia="仿宋_GB2312"/>
          <w:sz w:val="32"/>
          <w:szCs w:val="32"/>
        </w:rPr>
        <w:t>、</w:t>
      </w:r>
      <w:r>
        <w:rPr>
          <w:rFonts w:eastAsia="仿宋_GB2312"/>
          <w:sz w:val="32"/>
          <w:szCs w:val="32"/>
        </w:rPr>
        <w:t>《今日宁乡》环保专版宣传38次，对全市开展动员部署情况和办理案件情况予以报道</w:t>
      </w:r>
      <w:r>
        <w:rPr>
          <w:rFonts w:hint="eastAsia" w:eastAsia="仿宋_GB2312"/>
          <w:sz w:val="32"/>
          <w:szCs w:val="32"/>
        </w:rPr>
        <w:t>；</w:t>
      </w:r>
      <w:r>
        <w:rPr>
          <w:rFonts w:eastAsia="仿宋_GB2312"/>
          <w:sz w:val="32"/>
          <w:szCs w:val="32"/>
        </w:rPr>
        <w:t>通过采取法治讲座、专题培训、以案释法</w:t>
      </w:r>
      <w:r>
        <w:rPr>
          <w:rFonts w:hint="eastAsia" w:eastAsia="仿宋_GB2312"/>
          <w:sz w:val="32"/>
          <w:szCs w:val="32"/>
        </w:rPr>
        <w:t>等方式</w:t>
      </w:r>
      <w:r>
        <w:rPr>
          <w:rFonts w:eastAsia="仿宋_GB2312"/>
          <w:sz w:val="32"/>
          <w:szCs w:val="32"/>
        </w:rPr>
        <w:t>拓宽学法渠道，</w:t>
      </w:r>
      <w:r>
        <w:rPr>
          <w:rFonts w:hint="eastAsia" w:eastAsia="仿宋_GB2312"/>
          <w:sz w:val="32"/>
          <w:szCs w:val="32"/>
        </w:rPr>
        <w:t>对</w:t>
      </w:r>
      <w:r>
        <w:rPr>
          <w:rFonts w:eastAsia="仿宋_GB2312"/>
          <w:sz w:val="32"/>
          <w:szCs w:val="32"/>
        </w:rPr>
        <w:t>从事环境执法人员和企事业单位业主进行环境保护法律法规</w:t>
      </w:r>
      <w:r>
        <w:rPr>
          <w:rFonts w:hint="eastAsia" w:eastAsia="仿宋_GB2312"/>
          <w:sz w:val="32"/>
          <w:szCs w:val="32"/>
        </w:rPr>
        <w:t>的</w:t>
      </w:r>
      <w:r>
        <w:rPr>
          <w:rFonts w:eastAsia="仿宋_GB2312"/>
          <w:sz w:val="32"/>
          <w:szCs w:val="32"/>
        </w:rPr>
        <w:t>系统学习，筑牢依法执法的基础。</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5.</w:t>
      </w:r>
      <w:r>
        <w:rPr>
          <w:rFonts w:eastAsia="仿宋_GB2312"/>
          <w:b/>
          <w:bCs/>
          <w:sz w:val="32"/>
          <w:szCs w:val="32"/>
        </w:rPr>
        <w:t>绿色发展的根基更加牢固</w:t>
      </w:r>
      <w:r>
        <w:rPr>
          <w:rFonts w:hint="eastAsia" w:eastAsia="仿宋_GB2312"/>
          <w:b/>
          <w:bCs/>
          <w:sz w:val="32"/>
          <w:szCs w:val="32"/>
        </w:rPr>
        <w:t>。</w:t>
      </w:r>
      <w:r>
        <w:rPr>
          <w:rFonts w:eastAsia="仿宋_GB2312"/>
          <w:sz w:val="32"/>
          <w:szCs w:val="32"/>
        </w:rPr>
        <w:t>“十三五”期间，宁乡市产业转型深入推进</w:t>
      </w:r>
      <w:r>
        <w:rPr>
          <w:rFonts w:hint="eastAsia" w:eastAsia="仿宋_GB2312"/>
          <w:sz w:val="32"/>
          <w:szCs w:val="32"/>
        </w:rPr>
        <w:t>。</w:t>
      </w:r>
      <w:r>
        <w:rPr>
          <w:rFonts w:eastAsia="仿宋_GB2312"/>
          <w:sz w:val="32"/>
          <w:szCs w:val="32"/>
        </w:rPr>
        <w:t>先进材料、先进制造、新能源与节能环保产业等发展迅速，三次产业结构由2015年的10.9</w:t>
      </w:r>
      <w:r>
        <w:rPr>
          <w:rFonts w:hint="eastAsia" w:ascii="宋体" w:hAnsi="宋体" w:cs="宋体"/>
          <w:sz w:val="32"/>
          <w:szCs w:val="32"/>
        </w:rPr>
        <w:t>∶</w:t>
      </w:r>
      <w:r>
        <w:rPr>
          <w:rFonts w:eastAsia="仿宋_GB2312"/>
          <w:sz w:val="32"/>
          <w:szCs w:val="32"/>
        </w:rPr>
        <w:t>67.4</w:t>
      </w:r>
      <w:r>
        <w:rPr>
          <w:rFonts w:hint="eastAsia" w:ascii="宋体" w:hAnsi="宋体" w:cs="宋体"/>
          <w:sz w:val="32"/>
          <w:szCs w:val="32"/>
        </w:rPr>
        <w:t>∶</w:t>
      </w:r>
      <w:r>
        <w:rPr>
          <w:rFonts w:eastAsia="仿宋_GB2312"/>
          <w:sz w:val="32"/>
          <w:szCs w:val="32"/>
        </w:rPr>
        <w:t>21.7调整为</w:t>
      </w:r>
      <w:r>
        <w:rPr>
          <w:rFonts w:hint="eastAsia" w:eastAsia="仿宋_GB2312"/>
          <w:sz w:val="32"/>
          <w:szCs w:val="32"/>
        </w:rPr>
        <w:t>2020</w:t>
      </w:r>
      <w:r>
        <w:rPr>
          <w:rFonts w:eastAsia="仿宋_GB2312"/>
          <w:sz w:val="32"/>
          <w:szCs w:val="32"/>
        </w:rPr>
        <w:t>年的10.4</w:t>
      </w:r>
      <w:r>
        <w:rPr>
          <w:rFonts w:hint="eastAsia" w:ascii="宋体" w:hAnsi="宋体" w:cs="宋体"/>
          <w:sz w:val="32"/>
          <w:szCs w:val="32"/>
        </w:rPr>
        <w:t>∶</w:t>
      </w:r>
      <w:r>
        <w:rPr>
          <w:rFonts w:eastAsia="仿宋_GB2312"/>
          <w:sz w:val="32"/>
          <w:szCs w:val="32"/>
        </w:rPr>
        <w:t>4</w:t>
      </w:r>
      <w:r>
        <w:rPr>
          <w:rFonts w:hint="eastAsia" w:eastAsia="仿宋_GB2312"/>
          <w:sz w:val="32"/>
          <w:szCs w:val="32"/>
        </w:rPr>
        <w:t>3</w:t>
      </w:r>
      <w:r>
        <w:rPr>
          <w:rFonts w:eastAsia="仿宋_GB2312"/>
          <w:sz w:val="32"/>
          <w:szCs w:val="32"/>
        </w:rPr>
        <w:t>.</w:t>
      </w:r>
      <w:r>
        <w:rPr>
          <w:rFonts w:hint="eastAsia" w:eastAsia="仿宋_GB2312"/>
          <w:sz w:val="32"/>
          <w:szCs w:val="32"/>
        </w:rPr>
        <w:t>1</w:t>
      </w:r>
      <w:r>
        <w:rPr>
          <w:rFonts w:hint="eastAsia" w:ascii="宋体" w:hAnsi="宋体" w:cs="宋体"/>
          <w:sz w:val="32"/>
          <w:szCs w:val="32"/>
        </w:rPr>
        <w:t>∶</w:t>
      </w:r>
      <w:r>
        <w:rPr>
          <w:rFonts w:eastAsia="仿宋_GB2312"/>
          <w:sz w:val="32"/>
          <w:szCs w:val="32"/>
        </w:rPr>
        <w:t>46.</w:t>
      </w:r>
      <w:r>
        <w:rPr>
          <w:rFonts w:hint="eastAsia" w:eastAsia="仿宋_GB2312"/>
          <w:sz w:val="32"/>
          <w:szCs w:val="32"/>
        </w:rPr>
        <w:t>5</w:t>
      </w:r>
      <w:r>
        <w:rPr>
          <w:rFonts w:eastAsia="仿宋_GB2312"/>
          <w:sz w:val="32"/>
          <w:szCs w:val="32"/>
        </w:rPr>
        <w:t>，产业结构更趋合理。重点涉气企业实现超低排放，督促重点企业VOC治理，年度VOC减排10%以上</w:t>
      </w:r>
      <w:r>
        <w:rPr>
          <w:rFonts w:hint="eastAsia" w:eastAsia="仿宋_GB2312"/>
          <w:sz w:val="32"/>
          <w:szCs w:val="32"/>
        </w:rPr>
        <w:t>；</w:t>
      </w:r>
      <w:r>
        <w:rPr>
          <w:rFonts w:eastAsia="仿宋_GB2312"/>
          <w:sz w:val="32"/>
          <w:szCs w:val="32"/>
        </w:rPr>
        <w:t>清理整治“散乱污”企业</w:t>
      </w:r>
      <w:r>
        <w:rPr>
          <w:rFonts w:hint="eastAsia" w:eastAsia="仿宋_GB2312"/>
          <w:sz w:val="32"/>
          <w:szCs w:val="32"/>
        </w:rPr>
        <w:t>和</w:t>
      </w:r>
      <w:r>
        <w:rPr>
          <w:rFonts w:eastAsia="仿宋_GB2312"/>
          <w:sz w:val="32"/>
          <w:szCs w:val="32"/>
        </w:rPr>
        <w:t>混凝土搅拌站</w:t>
      </w:r>
      <w:r>
        <w:rPr>
          <w:rFonts w:hint="eastAsia" w:eastAsia="仿宋_GB2312"/>
          <w:sz w:val="32"/>
          <w:szCs w:val="32"/>
        </w:rPr>
        <w:t>；</w:t>
      </w:r>
      <w:r>
        <w:rPr>
          <w:rFonts w:eastAsia="仿宋_GB2312"/>
          <w:sz w:val="32"/>
          <w:szCs w:val="32"/>
        </w:rPr>
        <w:t>启动柴油货车整治，拆除（改造）禁燃区燃煤锅炉</w:t>
      </w:r>
      <w:r>
        <w:rPr>
          <w:rFonts w:hint="eastAsia" w:eastAsia="仿宋_GB2312"/>
          <w:sz w:val="32"/>
          <w:szCs w:val="32"/>
        </w:rPr>
        <w:t>；国家级园区全部实现集中供热，</w:t>
      </w:r>
      <w:r>
        <w:rPr>
          <w:rFonts w:eastAsia="仿宋_GB2312"/>
          <w:sz w:val="32"/>
          <w:szCs w:val="32"/>
        </w:rPr>
        <w:t>督促禁燃区86台燃煤锅炉“煤改气”</w:t>
      </w:r>
      <w:r>
        <w:rPr>
          <w:rFonts w:hint="eastAsia" w:eastAsia="仿宋_GB2312"/>
          <w:sz w:val="32"/>
          <w:szCs w:val="32"/>
        </w:rPr>
        <w:t>；</w:t>
      </w:r>
      <w:r>
        <w:rPr>
          <w:rFonts w:eastAsia="仿宋_GB2312"/>
          <w:sz w:val="32"/>
          <w:szCs w:val="32"/>
        </w:rPr>
        <w:t>加油站油气回收系统全部安装到位。通过工业两型化转型、建筑绿色节能推广、绿色交通建设、新能源产业发展等举措，全市能源消耗、单位GDP能耗持续保持</w:t>
      </w:r>
      <w:r>
        <w:rPr>
          <w:rFonts w:hint="eastAsia" w:eastAsia="仿宋_GB2312"/>
          <w:sz w:val="32"/>
          <w:szCs w:val="32"/>
        </w:rPr>
        <w:t>快速</w:t>
      </w:r>
      <w:r>
        <w:rPr>
          <w:rFonts w:eastAsia="仿宋_GB2312"/>
          <w:sz w:val="32"/>
          <w:szCs w:val="32"/>
        </w:rPr>
        <w:t>下降态势。</w:t>
      </w:r>
      <w:bookmarkEnd w:id="11"/>
      <w:bookmarkStart w:id="12" w:name="_Toc5712"/>
      <w:bookmarkStart w:id="13" w:name="_Toc75857498"/>
    </w:p>
    <w:p>
      <w:pPr>
        <w:pBdr>
          <w:bottom w:val="single" w:color="FFFFFF" w:sz="4" w:space="31"/>
        </w:pBdr>
        <w:tabs>
          <w:tab w:val="left" w:pos="1440"/>
        </w:tabs>
        <w:adjustRightInd w:val="0"/>
        <w:spacing w:line="600" w:lineRule="exact"/>
        <w:ind w:firstLine="643" w:firstLineChars="200"/>
        <w:outlineLvl w:val="1"/>
        <w:rPr>
          <w:rFonts w:eastAsia="楷体_GB2312" w:cs="宋体"/>
          <w:b/>
          <w:bCs/>
          <w:sz w:val="32"/>
          <w:szCs w:val="32"/>
        </w:rPr>
      </w:pPr>
      <w:bookmarkStart w:id="14" w:name="_Toc11342"/>
      <w:bookmarkStart w:id="15" w:name="_Toc87116132"/>
      <w:r>
        <w:rPr>
          <w:rFonts w:hint="eastAsia" w:eastAsia="楷体_GB2312" w:cs="宋体"/>
          <w:b/>
          <w:bCs/>
          <w:sz w:val="32"/>
          <w:szCs w:val="32"/>
        </w:rPr>
        <w:t>（二）生态环境保护面临的压力和挑战</w:t>
      </w:r>
      <w:bookmarkEnd w:id="12"/>
      <w:bookmarkEnd w:id="13"/>
      <w:bookmarkEnd w:id="14"/>
      <w:bookmarkEnd w:id="15"/>
    </w:p>
    <w:p>
      <w:pPr>
        <w:pBdr>
          <w:bottom w:val="single" w:color="FFFFFF" w:sz="4" w:space="31"/>
        </w:pBdr>
        <w:tabs>
          <w:tab w:val="left" w:pos="1440"/>
        </w:tabs>
        <w:adjustRightInd w:val="0"/>
        <w:spacing w:line="600" w:lineRule="exact"/>
        <w:ind w:firstLine="640" w:firstLineChars="200"/>
        <w:rPr>
          <w:rFonts w:eastAsia="仿宋_GB2312"/>
          <w:b/>
          <w:bCs/>
          <w:sz w:val="32"/>
          <w:szCs w:val="32"/>
        </w:rPr>
      </w:pPr>
      <w:r>
        <w:rPr>
          <w:rFonts w:eastAsia="仿宋_GB2312"/>
          <w:sz w:val="32"/>
          <w:szCs w:val="32"/>
        </w:rPr>
        <w:t>当前生态文明建设仍处于压力叠加、负重前行的关键期，生态环境保护工作压力依然很大，还面临诸多困难与挑战。</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1.</w:t>
      </w:r>
      <w:r>
        <w:rPr>
          <w:rFonts w:eastAsia="仿宋_GB2312"/>
          <w:b/>
          <w:bCs/>
          <w:sz w:val="32"/>
          <w:szCs w:val="32"/>
        </w:rPr>
        <w:t>持续改善生态环境质量压力大。</w:t>
      </w:r>
      <w:r>
        <w:rPr>
          <w:rFonts w:hint="eastAsia" w:eastAsia="仿宋_GB2312"/>
          <w:sz w:val="32"/>
          <w:szCs w:val="32"/>
        </w:rPr>
        <w:t>全市</w:t>
      </w:r>
      <w:r>
        <w:rPr>
          <w:rFonts w:eastAsia="仿宋_GB2312"/>
          <w:sz w:val="32"/>
          <w:szCs w:val="32"/>
        </w:rPr>
        <w:t>在大气、水、土壤和噪声污染防治方面取得了显著成效，环境质量逐步提升。但随着经济社会的发展，城市化不可避免对环境</w:t>
      </w:r>
      <w:r>
        <w:rPr>
          <w:rFonts w:hint="eastAsia" w:eastAsia="仿宋_GB2312"/>
          <w:sz w:val="32"/>
          <w:szCs w:val="32"/>
        </w:rPr>
        <w:t>带来压力</w:t>
      </w:r>
      <w:r>
        <w:rPr>
          <w:rFonts w:eastAsia="仿宋_GB2312"/>
          <w:sz w:val="32"/>
          <w:szCs w:val="32"/>
        </w:rPr>
        <w:t>。沩水下游断面水质存在污染物超标现象，雨污分流比例不高</w:t>
      </w:r>
      <w:r>
        <w:rPr>
          <w:rFonts w:hint="eastAsia" w:eastAsia="仿宋_GB2312"/>
          <w:sz w:val="32"/>
          <w:szCs w:val="32"/>
        </w:rPr>
        <w:t>；</w:t>
      </w:r>
      <w:r>
        <w:rPr>
          <w:rFonts w:eastAsia="仿宋_GB2312"/>
          <w:sz w:val="32"/>
          <w:szCs w:val="32"/>
        </w:rPr>
        <w:t>大气中城区细颗粒物（PM</w:t>
      </w:r>
      <w:r>
        <w:rPr>
          <w:rFonts w:eastAsia="仿宋_GB2312"/>
          <w:sz w:val="32"/>
          <w:szCs w:val="32"/>
          <w:vertAlign w:val="subscript"/>
        </w:rPr>
        <w:t>2.5</w:t>
      </w:r>
      <w:r>
        <w:rPr>
          <w:rFonts w:eastAsia="仿宋_GB2312"/>
          <w:sz w:val="32"/>
          <w:szCs w:val="32"/>
        </w:rPr>
        <w:t>）污染</w:t>
      </w:r>
      <w:r>
        <w:rPr>
          <w:rFonts w:hint="eastAsia" w:eastAsia="仿宋_GB2312"/>
          <w:sz w:val="32"/>
          <w:szCs w:val="32"/>
        </w:rPr>
        <w:t>现象仍然存在</w:t>
      </w:r>
      <w:r>
        <w:rPr>
          <w:rFonts w:eastAsia="仿宋_GB2312"/>
          <w:sz w:val="32"/>
          <w:szCs w:val="32"/>
        </w:rPr>
        <w:t>，夏季高温极端天气臭氧浓度持续升高</w:t>
      </w:r>
      <w:r>
        <w:rPr>
          <w:rFonts w:hint="eastAsia" w:eastAsia="仿宋_GB2312"/>
          <w:sz w:val="32"/>
          <w:szCs w:val="32"/>
        </w:rPr>
        <w:t>；</w:t>
      </w:r>
      <w:r>
        <w:rPr>
          <w:rFonts w:eastAsia="仿宋_GB2312"/>
          <w:sz w:val="32"/>
          <w:szCs w:val="32"/>
        </w:rPr>
        <w:t>固体废物产生量急剧增加，目前宁乡</w:t>
      </w:r>
      <w:r>
        <w:rPr>
          <w:rFonts w:hint="eastAsia" w:eastAsia="仿宋_GB2312"/>
          <w:sz w:val="32"/>
          <w:szCs w:val="32"/>
        </w:rPr>
        <w:t>的</w:t>
      </w:r>
      <w:r>
        <w:rPr>
          <w:rFonts w:eastAsia="仿宋_GB2312"/>
          <w:sz w:val="32"/>
          <w:szCs w:val="32"/>
        </w:rPr>
        <w:t>1座标准的垃圾填埋场不能满足</w:t>
      </w:r>
      <w:r>
        <w:rPr>
          <w:rFonts w:hint="eastAsia" w:eastAsia="仿宋_GB2312"/>
          <w:sz w:val="32"/>
          <w:szCs w:val="32"/>
        </w:rPr>
        <w:t>处置</w:t>
      </w:r>
      <w:r>
        <w:rPr>
          <w:rFonts w:eastAsia="仿宋_GB2312"/>
          <w:sz w:val="32"/>
          <w:szCs w:val="32"/>
        </w:rPr>
        <w:t>需求</w:t>
      </w:r>
      <w:r>
        <w:rPr>
          <w:rFonts w:hint="eastAsia" w:eastAsia="仿宋_GB2312"/>
          <w:sz w:val="32"/>
          <w:szCs w:val="32"/>
        </w:rPr>
        <w:t>。</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2.</w:t>
      </w:r>
      <w:r>
        <w:rPr>
          <w:rFonts w:eastAsia="仿宋_GB2312"/>
          <w:b/>
          <w:bCs/>
          <w:sz w:val="32"/>
          <w:szCs w:val="32"/>
        </w:rPr>
        <w:t>调整结构推动绿色发展难度大。</w:t>
      </w:r>
      <w:r>
        <w:rPr>
          <w:rFonts w:eastAsia="仿宋_GB2312"/>
          <w:sz w:val="32"/>
          <w:szCs w:val="32"/>
        </w:rPr>
        <w:t>受经济结构、产业结构、投资结构等多重因素的制约，经济社会发展</w:t>
      </w:r>
      <w:r>
        <w:rPr>
          <w:rFonts w:hint="eastAsia" w:eastAsia="仿宋_GB2312"/>
          <w:sz w:val="32"/>
          <w:szCs w:val="32"/>
        </w:rPr>
        <w:t>与</w:t>
      </w:r>
      <w:r>
        <w:rPr>
          <w:rFonts w:eastAsia="仿宋_GB2312"/>
          <w:sz w:val="32"/>
          <w:szCs w:val="32"/>
        </w:rPr>
        <w:t>环境容量</w:t>
      </w:r>
      <w:r>
        <w:rPr>
          <w:rFonts w:hint="eastAsia" w:eastAsia="仿宋_GB2312"/>
          <w:sz w:val="32"/>
          <w:szCs w:val="32"/>
        </w:rPr>
        <w:t>约束局部存在一定冲突</w:t>
      </w:r>
      <w:r>
        <w:rPr>
          <w:rFonts w:eastAsia="仿宋_GB2312"/>
          <w:sz w:val="32"/>
          <w:szCs w:val="32"/>
        </w:rPr>
        <w:t>。</w:t>
      </w:r>
      <w:r>
        <w:rPr>
          <w:rFonts w:hint="eastAsia" w:eastAsia="仿宋_GB2312"/>
          <w:sz w:val="32"/>
          <w:szCs w:val="32"/>
        </w:rPr>
        <w:t>工业</w:t>
      </w:r>
      <w:r>
        <w:rPr>
          <w:rFonts w:eastAsia="仿宋_GB2312"/>
          <w:sz w:val="32"/>
          <w:szCs w:val="32"/>
        </w:rPr>
        <w:t>产业同质化竞争客观存在，如何在经济崛起的同时完成</w:t>
      </w:r>
      <w:r>
        <w:rPr>
          <w:rFonts w:hint="eastAsia" w:eastAsia="仿宋_GB2312"/>
          <w:sz w:val="32"/>
          <w:szCs w:val="32"/>
        </w:rPr>
        <w:t>绿色</w:t>
      </w:r>
      <w:r>
        <w:rPr>
          <w:rFonts w:eastAsia="仿宋_GB2312"/>
          <w:sz w:val="32"/>
          <w:szCs w:val="32"/>
        </w:rPr>
        <w:t>产业结构升级，不增加污染物排放，是客观存在的艰巨任务。</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3.</w:t>
      </w:r>
      <w:r>
        <w:rPr>
          <w:rFonts w:eastAsia="仿宋_GB2312"/>
          <w:b/>
          <w:bCs/>
          <w:sz w:val="32"/>
          <w:szCs w:val="32"/>
        </w:rPr>
        <w:t>环保体制机制改革创新待加强。</w:t>
      </w:r>
      <w:r>
        <w:rPr>
          <w:rFonts w:eastAsia="仿宋_GB2312"/>
          <w:sz w:val="32"/>
          <w:szCs w:val="32"/>
        </w:rPr>
        <w:t>生态建设和环境保护已有良好基础和明显优势，但生态环境治理体系还未成熟，生态保护的建设和补偿机制尚未健全</w:t>
      </w:r>
      <w:r>
        <w:rPr>
          <w:rFonts w:hint="eastAsia" w:eastAsia="仿宋_GB2312"/>
          <w:sz w:val="32"/>
          <w:szCs w:val="32"/>
        </w:rPr>
        <w:t>。</w:t>
      </w:r>
      <w:r>
        <w:rPr>
          <w:rFonts w:eastAsia="仿宋_GB2312"/>
          <w:sz w:val="32"/>
          <w:szCs w:val="32"/>
        </w:rPr>
        <w:t>根据宁乡的产业结构和污染排放特征，现有环境保护模式较单一</w:t>
      </w:r>
      <w:r>
        <w:rPr>
          <w:rFonts w:hint="eastAsia" w:eastAsia="仿宋_GB2312"/>
          <w:sz w:val="32"/>
          <w:szCs w:val="32"/>
        </w:rPr>
        <w:t>，</w:t>
      </w:r>
      <w:r>
        <w:rPr>
          <w:rFonts w:eastAsia="仿宋_GB2312"/>
          <w:sz w:val="32"/>
          <w:szCs w:val="32"/>
        </w:rPr>
        <w:t>环境保护市场不够完善</w:t>
      </w:r>
      <w:r>
        <w:rPr>
          <w:rFonts w:hint="eastAsia" w:eastAsia="仿宋_GB2312"/>
          <w:sz w:val="32"/>
          <w:szCs w:val="32"/>
        </w:rPr>
        <w:t>，</w:t>
      </w:r>
      <w:r>
        <w:rPr>
          <w:rFonts w:eastAsia="仿宋_GB2312"/>
          <w:sz w:val="32"/>
          <w:szCs w:val="32"/>
        </w:rPr>
        <w:t>对产业发展的引导作用比较有限。</w:t>
      </w:r>
      <w:r>
        <w:rPr>
          <w:rFonts w:hint="eastAsia" w:eastAsia="仿宋_GB2312"/>
          <w:sz w:val="32"/>
          <w:szCs w:val="32"/>
        </w:rPr>
        <w:t>环保机构垂直改革后，生态环境部门与地方政府的责权关系需要进一步理顺。</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4.</w:t>
      </w:r>
      <w:r>
        <w:rPr>
          <w:rFonts w:eastAsia="仿宋_GB2312"/>
          <w:b/>
          <w:bCs/>
          <w:sz w:val="32"/>
          <w:szCs w:val="32"/>
        </w:rPr>
        <w:t>环保能力短板亟需补齐。</w:t>
      </w:r>
      <w:r>
        <w:rPr>
          <w:rFonts w:eastAsia="仿宋_GB2312"/>
          <w:sz w:val="32"/>
          <w:szCs w:val="32"/>
        </w:rPr>
        <w:t>环保治理能力现代化水平亟需提升，能力短板主要表现在以下四方面：环境监测装备水平达标率低，投资不足，仪器设备装备水平和能力有待提高；环境信息基础设施建设落后，信息采集传输方式仍需改进；环境宣教力量仍不足，宣教队伍能力建设发展不平衡、功能不足；土壤环境监管能力薄弱，监管措施及体系</w:t>
      </w:r>
      <w:r>
        <w:rPr>
          <w:rFonts w:hint="eastAsia" w:eastAsia="仿宋_GB2312"/>
          <w:sz w:val="32"/>
          <w:szCs w:val="32"/>
        </w:rPr>
        <w:t>未</w:t>
      </w:r>
      <w:r>
        <w:rPr>
          <w:rFonts w:eastAsia="仿宋_GB2312"/>
          <w:sz w:val="32"/>
          <w:szCs w:val="32"/>
        </w:rPr>
        <w:t>完善</w:t>
      </w:r>
      <w:r>
        <w:rPr>
          <w:rFonts w:hint="eastAsia" w:eastAsia="仿宋_GB2312"/>
          <w:sz w:val="32"/>
          <w:szCs w:val="32"/>
        </w:rPr>
        <w:t>，环境管理</w:t>
      </w:r>
      <w:r>
        <w:rPr>
          <w:rFonts w:eastAsia="仿宋_GB2312"/>
          <w:sz w:val="32"/>
          <w:szCs w:val="32"/>
        </w:rPr>
        <w:t>信息系统</w:t>
      </w:r>
      <w:r>
        <w:rPr>
          <w:rFonts w:hint="eastAsia" w:eastAsia="仿宋_GB2312"/>
          <w:sz w:val="32"/>
          <w:szCs w:val="32"/>
        </w:rPr>
        <w:t>尚不完善</w:t>
      </w:r>
      <w:r>
        <w:rPr>
          <w:rFonts w:eastAsia="仿宋_GB2312"/>
          <w:sz w:val="32"/>
          <w:szCs w:val="32"/>
        </w:rPr>
        <w:t>。</w:t>
      </w:r>
    </w:p>
    <w:p>
      <w:pPr>
        <w:pBdr>
          <w:bottom w:val="single" w:color="FFFFFF" w:sz="4" w:space="31"/>
        </w:pBdr>
        <w:tabs>
          <w:tab w:val="left" w:pos="1440"/>
        </w:tabs>
        <w:adjustRightInd w:val="0"/>
        <w:spacing w:line="600" w:lineRule="exact"/>
        <w:ind w:firstLine="643" w:firstLineChars="200"/>
        <w:rPr>
          <w:rFonts w:eastAsia="仿宋_GB2312"/>
          <w:sz w:val="32"/>
          <w:szCs w:val="32"/>
        </w:rPr>
      </w:pPr>
      <w:r>
        <w:rPr>
          <w:rFonts w:hint="eastAsia" w:eastAsia="仿宋_GB2312"/>
          <w:b/>
          <w:bCs/>
          <w:sz w:val="32"/>
          <w:szCs w:val="32"/>
        </w:rPr>
        <w:t>5.</w:t>
      </w:r>
      <w:r>
        <w:rPr>
          <w:rFonts w:eastAsia="仿宋_GB2312"/>
          <w:b/>
          <w:bCs/>
          <w:sz w:val="32"/>
          <w:szCs w:val="32"/>
        </w:rPr>
        <w:t>公众环保意识有待提高。</w:t>
      </w:r>
      <w:r>
        <w:rPr>
          <w:rFonts w:eastAsia="仿宋_GB2312"/>
          <w:sz w:val="32"/>
          <w:szCs w:val="32"/>
        </w:rPr>
        <w:t>部分领导干部对生态环境保护的重要性认识不足，执行环保优先的方针不坚决。企业环保责任意识不</w:t>
      </w:r>
      <w:r>
        <w:rPr>
          <w:rFonts w:hint="eastAsia" w:eastAsia="仿宋_GB2312"/>
          <w:sz w:val="32"/>
          <w:szCs w:val="32"/>
        </w:rPr>
        <w:t>够</w:t>
      </w:r>
      <w:r>
        <w:rPr>
          <w:rFonts w:eastAsia="仿宋_GB2312"/>
          <w:sz w:val="32"/>
          <w:szCs w:val="32"/>
        </w:rPr>
        <w:t>强，主动保护环境的意识有待形成。全社会尊重自然、顺应自然和保护自然的理念尚未完全树立，公众的环境维权意识增强、环境责任意识相对较差的现象较为普遍。</w:t>
      </w:r>
      <w:bookmarkStart w:id="16" w:name="_Toc75857499"/>
      <w:bookmarkStart w:id="17" w:name="_Toc16084"/>
    </w:p>
    <w:p>
      <w:pPr>
        <w:pBdr>
          <w:bottom w:val="single" w:color="FFFFFF" w:sz="4" w:space="31"/>
        </w:pBdr>
        <w:tabs>
          <w:tab w:val="left" w:pos="1440"/>
        </w:tabs>
        <w:adjustRightInd w:val="0"/>
        <w:spacing w:line="600" w:lineRule="exact"/>
        <w:ind w:firstLine="643" w:firstLineChars="200"/>
        <w:outlineLvl w:val="1"/>
        <w:rPr>
          <w:rFonts w:eastAsia="楷体_GB2312" w:cs="宋体"/>
          <w:b/>
          <w:bCs/>
          <w:sz w:val="32"/>
          <w:szCs w:val="32"/>
        </w:rPr>
      </w:pPr>
      <w:bookmarkStart w:id="18" w:name="_Toc30465"/>
      <w:bookmarkStart w:id="19" w:name="_Toc87116133"/>
      <w:r>
        <w:rPr>
          <w:rFonts w:hint="eastAsia" w:eastAsia="楷体_GB2312" w:cs="宋体"/>
          <w:b/>
          <w:bCs/>
          <w:sz w:val="32"/>
          <w:szCs w:val="32"/>
        </w:rPr>
        <w:t>（三）把握生态环境保护重大战略机遇</w:t>
      </w:r>
      <w:bookmarkEnd w:id="16"/>
      <w:bookmarkEnd w:id="17"/>
      <w:bookmarkEnd w:id="18"/>
      <w:bookmarkEnd w:id="19"/>
    </w:p>
    <w:p>
      <w:pPr>
        <w:pBdr>
          <w:bottom w:val="single" w:color="FFFFFF" w:sz="4" w:space="31"/>
        </w:pBdr>
        <w:tabs>
          <w:tab w:val="left" w:pos="1440"/>
        </w:tabs>
        <w:adjustRightInd w:val="0"/>
        <w:spacing w:line="600" w:lineRule="exact"/>
        <w:ind w:firstLine="640" w:firstLineChars="200"/>
        <w:rPr>
          <w:rFonts w:eastAsia="仿宋_GB2312"/>
          <w:sz w:val="32"/>
          <w:szCs w:val="32"/>
        </w:rPr>
      </w:pPr>
      <w:r>
        <w:rPr>
          <w:rFonts w:hint="eastAsia" w:eastAsia="仿宋_GB2312"/>
          <w:sz w:val="32"/>
          <w:szCs w:val="32"/>
        </w:rPr>
        <w:t>2020年9月，习近平总书记亲临湖南视察指导发表重要讲话，</w:t>
      </w:r>
      <w:r>
        <w:rPr>
          <w:rFonts w:eastAsia="仿宋_GB2312"/>
          <w:sz w:val="32"/>
          <w:szCs w:val="32"/>
        </w:rPr>
        <w:t>明确提出“三个高地”、“四新”使命、五项重点任务的总体要求，</w:t>
      </w:r>
      <w:r>
        <w:rPr>
          <w:rFonts w:hint="eastAsia" w:eastAsia="仿宋_GB2312"/>
          <w:sz w:val="32"/>
          <w:szCs w:val="32"/>
        </w:rPr>
        <w:t>做出重要指示：</w:t>
      </w:r>
      <w:r>
        <w:rPr>
          <w:rFonts w:eastAsia="仿宋_GB2312"/>
          <w:sz w:val="32"/>
          <w:szCs w:val="32"/>
        </w:rPr>
        <w:t>“希望湖南牢固树立绿水青山就是金山银山的理念，在生态文明建设上展现新作为”</w:t>
      </w:r>
      <w:r>
        <w:rPr>
          <w:rFonts w:hint="eastAsia" w:eastAsia="仿宋_GB2312"/>
          <w:sz w:val="32"/>
          <w:szCs w:val="32"/>
        </w:rPr>
        <w:t>。</w:t>
      </w:r>
      <w:r>
        <w:rPr>
          <w:rFonts w:eastAsia="仿宋_GB2312"/>
          <w:sz w:val="32"/>
          <w:szCs w:val="32"/>
        </w:rPr>
        <w:t>为湖南“十四五”乃至更长时期的发展</w:t>
      </w:r>
      <w:r>
        <w:rPr>
          <w:rFonts w:hint="eastAsia" w:eastAsia="仿宋_GB2312"/>
          <w:sz w:val="32"/>
          <w:szCs w:val="32"/>
        </w:rPr>
        <w:t>、</w:t>
      </w:r>
      <w:r>
        <w:rPr>
          <w:rFonts w:eastAsia="仿宋_GB2312"/>
          <w:sz w:val="32"/>
          <w:szCs w:val="32"/>
        </w:rPr>
        <w:t>建设人与自然和谐共生的现代化新湖南指明了前进方向，提供了根本遵循</w:t>
      </w:r>
      <w:r>
        <w:rPr>
          <w:rFonts w:hint="eastAsia" w:eastAsia="仿宋_GB2312"/>
          <w:sz w:val="32"/>
          <w:szCs w:val="32"/>
        </w:rPr>
        <w:t>。建立健全绿色低碳循环发展经济体系，促进经济社会发展全面绿色转型，是解决我国资源环境生态问题的基础之策。</w:t>
      </w:r>
      <w:r>
        <w:rPr>
          <w:rFonts w:eastAsia="仿宋_GB2312"/>
          <w:sz w:val="32"/>
          <w:szCs w:val="32"/>
        </w:rPr>
        <w:t>未来五年</w:t>
      </w:r>
      <w:r>
        <w:rPr>
          <w:rFonts w:hint="eastAsia" w:eastAsia="仿宋_GB2312"/>
          <w:sz w:val="32"/>
          <w:szCs w:val="32"/>
        </w:rPr>
        <w:t>，</w:t>
      </w:r>
      <w:r>
        <w:rPr>
          <w:rFonts w:eastAsia="仿宋_GB2312"/>
          <w:sz w:val="32"/>
          <w:szCs w:val="32"/>
        </w:rPr>
        <w:t>绿色低碳发展将成为推动经济社会结构性调整的重要引擎。随着经济发展和生活水平</w:t>
      </w:r>
      <w:r>
        <w:rPr>
          <w:rFonts w:hint="eastAsia" w:eastAsia="仿宋_GB2312"/>
          <w:sz w:val="32"/>
          <w:szCs w:val="32"/>
        </w:rPr>
        <w:t>的</w:t>
      </w:r>
      <w:r>
        <w:rPr>
          <w:rFonts w:eastAsia="仿宋_GB2312"/>
          <w:sz w:val="32"/>
          <w:szCs w:val="32"/>
        </w:rPr>
        <w:t>提升，人民群众热切期盼加快提高生态环境质量</w:t>
      </w:r>
      <w:r>
        <w:rPr>
          <w:rFonts w:hint="eastAsia" w:eastAsia="仿宋_GB2312"/>
          <w:sz w:val="32"/>
          <w:szCs w:val="32"/>
        </w:rPr>
        <w:t>，获得</w:t>
      </w:r>
      <w:r>
        <w:rPr>
          <w:rFonts w:eastAsia="仿宋_GB2312"/>
          <w:sz w:val="32"/>
          <w:szCs w:val="32"/>
        </w:rPr>
        <w:t>更多优质生态产品</w:t>
      </w:r>
      <w:r>
        <w:rPr>
          <w:rFonts w:hint="eastAsia" w:eastAsia="仿宋_GB2312"/>
          <w:sz w:val="32"/>
          <w:szCs w:val="32"/>
        </w:rPr>
        <w:t>，不断满足人民群众日益增长的优美生态环境需要，已经成为新时代生态文明建设和环境保护工作的着力点和落脚点</w:t>
      </w:r>
      <w:r>
        <w:rPr>
          <w:rFonts w:eastAsia="仿宋_GB2312"/>
          <w:sz w:val="32"/>
          <w:szCs w:val="32"/>
        </w:rPr>
        <w:t>。</w:t>
      </w:r>
      <w:r>
        <w:rPr>
          <w:rFonts w:hint="eastAsia" w:eastAsia="仿宋_GB2312"/>
          <w:sz w:val="32"/>
          <w:szCs w:val="32"/>
        </w:rPr>
        <w:t>宁乡作为湖南湘江新区的重要组团和湖南省中心城市带动中西部发展的过渡带、长株潭城市群和环洞庭湖经济圈的结合部，享长沙西的发展红利，向东与长沙发展成为城市群，区位优势显著；随着国家“一带一部”战略、中部崛起战略、长江经济带发展，宁乡形成了以食品加工、储能材料、智能终端、装备制造、新材料等为主的优势产业集群，宁乡的高质量发展将更加突显生态环境保护在发展中的作用。“十四五”时期，要全面落实习近平生态文明思想、习近平总书记考察湖南重要讲话精神和《关于深入打好污染防治攻坚战的意见》，充分利用新机遇新条件，推动经济高质量发展，深入推进污染防治攻坚战，坚持产业向高端发展，走循环经济发展之路，打造宁乡绿色、低碳、环保的智造新城，全面建设工业强市、幸福宁乡。</w:t>
      </w:r>
    </w:p>
    <w:p>
      <w:pPr>
        <w:widowControl/>
        <w:spacing w:line="600" w:lineRule="exact"/>
        <w:jc w:val="center"/>
        <w:rPr>
          <w:rFonts w:eastAsia="黑体"/>
          <w:b/>
          <w:bCs/>
          <w:kern w:val="44"/>
          <w:sz w:val="32"/>
          <w:szCs w:val="32"/>
        </w:rPr>
        <w:sectPr>
          <w:headerReference r:id="rId5" w:type="default"/>
          <w:footerReference r:id="rId6" w:type="default"/>
          <w:pgSz w:w="11906" w:h="16838"/>
          <w:pgMar w:top="1440" w:right="1689" w:bottom="1440" w:left="1689" w:header="851" w:footer="992" w:gutter="0"/>
          <w:pgNumType w:start="1"/>
          <w:cols w:space="720" w:num="1"/>
          <w:docGrid w:type="lines" w:linePitch="312" w:charSpace="0"/>
        </w:sectPr>
      </w:pPr>
    </w:p>
    <w:p>
      <w:pPr>
        <w:widowControl/>
        <w:spacing w:line="600" w:lineRule="exact"/>
        <w:jc w:val="center"/>
        <w:rPr>
          <w:rFonts w:eastAsia="黑体"/>
          <w:sz w:val="32"/>
          <w:szCs w:val="32"/>
        </w:rPr>
      </w:pPr>
      <w:r>
        <w:rPr>
          <w:rFonts w:eastAsia="黑体"/>
          <w:b/>
          <w:bCs/>
          <w:kern w:val="44"/>
          <w:sz w:val="32"/>
          <w:szCs w:val="32"/>
        </w:rPr>
        <w:t>表 1 “十三五”</w:t>
      </w:r>
      <w:r>
        <w:rPr>
          <w:rFonts w:hint="eastAsia" w:eastAsia="黑体"/>
          <w:b/>
          <w:bCs/>
          <w:kern w:val="44"/>
          <w:sz w:val="32"/>
          <w:szCs w:val="32"/>
        </w:rPr>
        <w:t>生态环境保护规划</w:t>
      </w:r>
      <w:r>
        <w:rPr>
          <w:rFonts w:eastAsia="黑体"/>
          <w:b/>
          <w:bCs/>
          <w:kern w:val="44"/>
          <w:sz w:val="32"/>
          <w:szCs w:val="32"/>
        </w:rPr>
        <w:t>主要约束性指标完成情况</w:t>
      </w:r>
    </w:p>
    <w:p>
      <w:pPr>
        <w:pStyle w:val="30"/>
      </w:pPr>
    </w:p>
    <w:tbl>
      <w:tblPr>
        <w:tblStyle w:val="31"/>
        <w:tblW w:w="13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 w:type="dxa"/>
          <w:left w:w="51" w:type="dxa"/>
          <w:bottom w:w="5" w:type="dxa"/>
          <w:right w:w="51" w:type="dxa"/>
        </w:tblCellMar>
      </w:tblPr>
      <w:tblGrid>
        <w:gridCol w:w="558"/>
        <w:gridCol w:w="343"/>
        <w:gridCol w:w="3855"/>
        <w:gridCol w:w="1660"/>
        <w:gridCol w:w="617"/>
        <w:gridCol w:w="2703"/>
        <w:gridCol w:w="1283"/>
        <w:gridCol w:w="1230"/>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tblHeader/>
          <w:jc w:val="center"/>
        </w:trPr>
        <w:tc>
          <w:tcPr>
            <w:tcW w:w="558" w:type="dxa"/>
            <w:vAlign w:val="center"/>
          </w:tcPr>
          <w:p>
            <w:pPr>
              <w:widowControl/>
              <w:spacing w:line="240" w:lineRule="exact"/>
              <w:jc w:val="center"/>
              <w:rPr>
                <w:rFonts w:eastAsia="仿宋" w:cs="仿宋"/>
                <w:b/>
                <w:kern w:val="0"/>
                <w:sz w:val="24"/>
                <w:szCs w:val="24"/>
              </w:rPr>
            </w:pPr>
            <w:r>
              <w:rPr>
                <w:rFonts w:hint="eastAsia" w:eastAsia="仿宋" w:cs="仿宋"/>
                <w:b/>
                <w:kern w:val="0"/>
                <w:sz w:val="24"/>
                <w:szCs w:val="24"/>
              </w:rPr>
              <w:t>领域</w:t>
            </w:r>
          </w:p>
        </w:tc>
        <w:tc>
          <w:tcPr>
            <w:tcW w:w="343" w:type="dxa"/>
            <w:vAlign w:val="center"/>
          </w:tcPr>
          <w:p>
            <w:pPr>
              <w:widowControl/>
              <w:spacing w:line="240" w:lineRule="exact"/>
              <w:jc w:val="center"/>
              <w:rPr>
                <w:rFonts w:eastAsia="仿宋" w:cs="仿宋"/>
                <w:b/>
                <w:kern w:val="0"/>
                <w:sz w:val="24"/>
                <w:szCs w:val="24"/>
              </w:rPr>
            </w:pPr>
            <w:r>
              <w:rPr>
                <w:rFonts w:hint="eastAsia" w:eastAsia="仿宋" w:cs="仿宋"/>
                <w:b/>
                <w:kern w:val="0"/>
                <w:sz w:val="24"/>
                <w:szCs w:val="24"/>
              </w:rPr>
              <w:t>序</w:t>
            </w:r>
          </w:p>
          <w:p>
            <w:pPr>
              <w:widowControl/>
              <w:spacing w:line="240" w:lineRule="exact"/>
              <w:jc w:val="center"/>
              <w:rPr>
                <w:rFonts w:eastAsia="仿宋" w:cs="仿宋"/>
                <w:b/>
                <w:kern w:val="0"/>
                <w:sz w:val="24"/>
                <w:szCs w:val="24"/>
              </w:rPr>
            </w:pPr>
            <w:r>
              <w:rPr>
                <w:rFonts w:hint="eastAsia" w:eastAsia="仿宋" w:cs="仿宋"/>
                <w:b/>
                <w:kern w:val="0"/>
                <w:sz w:val="24"/>
                <w:szCs w:val="24"/>
              </w:rPr>
              <w:t>号</w:t>
            </w:r>
          </w:p>
        </w:tc>
        <w:tc>
          <w:tcPr>
            <w:tcW w:w="3855" w:type="dxa"/>
            <w:vAlign w:val="center"/>
          </w:tcPr>
          <w:p>
            <w:pPr>
              <w:widowControl/>
              <w:spacing w:line="240" w:lineRule="exact"/>
              <w:jc w:val="center"/>
              <w:rPr>
                <w:rFonts w:eastAsia="仿宋" w:cs="仿宋"/>
                <w:b/>
                <w:kern w:val="0"/>
                <w:sz w:val="24"/>
                <w:szCs w:val="24"/>
              </w:rPr>
            </w:pPr>
            <w:r>
              <w:rPr>
                <w:rFonts w:hint="eastAsia" w:eastAsia="仿宋" w:cs="仿宋"/>
                <w:b/>
                <w:kern w:val="0"/>
                <w:sz w:val="24"/>
                <w:szCs w:val="24"/>
              </w:rPr>
              <w:t>名称</w:t>
            </w:r>
          </w:p>
        </w:tc>
        <w:tc>
          <w:tcPr>
            <w:tcW w:w="1660" w:type="dxa"/>
            <w:vAlign w:val="center"/>
          </w:tcPr>
          <w:p>
            <w:pPr>
              <w:widowControl/>
              <w:spacing w:line="240" w:lineRule="exact"/>
              <w:jc w:val="center"/>
              <w:rPr>
                <w:rFonts w:eastAsia="仿宋" w:cs="仿宋"/>
                <w:b/>
                <w:kern w:val="0"/>
                <w:sz w:val="24"/>
                <w:szCs w:val="24"/>
              </w:rPr>
            </w:pPr>
            <w:r>
              <w:rPr>
                <w:rFonts w:hint="eastAsia" w:eastAsia="仿宋" w:cs="仿宋"/>
                <w:b/>
                <w:kern w:val="0"/>
                <w:sz w:val="24"/>
                <w:szCs w:val="24"/>
              </w:rPr>
              <w:t>单位</w:t>
            </w:r>
          </w:p>
        </w:tc>
        <w:tc>
          <w:tcPr>
            <w:tcW w:w="3320" w:type="dxa"/>
            <w:gridSpan w:val="2"/>
            <w:vAlign w:val="center"/>
          </w:tcPr>
          <w:p>
            <w:pPr>
              <w:widowControl/>
              <w:spacing w:line="240" w:lineRule="exact"/>
              <w:jc w:val="center"/>
              <w:rPr>
                <w:rFonts w:eastAsia="仿宋" w:cs="仿宋"/>
                <w:b/>
                <w:kern w:val="0"/>
                <w:sz w:val="24"/>
                <w:szCs w:val="24"/>
              </w:rPr>
            </w:pPr>
            <w:r>
              <w:rPr>
                <w:rFonts w:hint="eastAsia" w:eastAsia="仿宋" w:cs="仿宋"/>
                <w:b/>
                <w:kern w:val="0"/>
                <w:sz w:val="24"/>
                <w:szCs w:val="24"/>
              </w:rPr>
              <w:t>指标</w:t>
            </w:r>
          </w:p>
        </w:tc>
        <w:tc>
          <w:tcPr>
            <w:tcW w:w="1283" w:type="dxa"/>
            <w:vAlign w:val="center"/>
          </w:tcPr>
          <w:p>
            <w:pPr>
              <w:widowControl/>
              <w:spacing w:line="240" w:lineRule="exact"/>
              <w:jc w:val="center"/>
              <w:rPr>
                <w:rFonts w:eastAsia="仿宋" w:cs="仿宋"/>
                <w:b/>
                <w:kern w:val="0"/>
                <w:sz w:val="24"/>
                <w:szCs w:val="24"/>
              </w:rPr>
            </w:pPr>
            <w:r>
              <w:rPr>
                <w:rFonts w:hint="eastAsia" w:eastAsia="仿宋" w:cs="仿宋"/>
                <w:b/>
                <w:kern w:val="0"/>
                <w:sz w:val="24"/>
                <w:szCs w:val="24"/>
              </w:rPr>
              <w:t>2020年目标</w:t>
            </w:r>
          </w:p>
        </w:tc>
        <w:tc>
          <w:tcPr>
            <w:tcW w:w="1230" w:type="dxa"/>
            <w:vAlign w:val="center"/>
          </w:tcPr>
          <w:p>
            <w:pPr>
              <w:widowControl/>
              <w:spacing w:line="240" w:lineRule="exact"/>
              <w:jc w:val="center"/>
              <w:rPr>
                <w:rFonts w:eastAsia="仿宋" w:cs="仿宋"/>
                <w:b/>
                <w:kern w:val="0"/>
                <w:sz w:val="24"/>
                <w:szCs w:val="24"/>
              </w:rPr>
            </w:pPr>
            <w:r>
              <w:rPr>
                <w:rFonts w:hint="eastAsia" w:eastAsia="仿宋" w:cs="仿宋"/>
                <w:b/>
                <w:kern w:val="0"/>
                <w:sz w:val="24"/>
                <w:szCs w:val="24"/>
              </w:rPr>
              <w:t>2020年现状</w:t>
            </w:r>
          </w:p>
        </w:tc>
        <w:tc>
          <w:tcPr>
            <w:tcW w:w="989" w:type="dxa"/>
            <w:vAlign w:val="center"/>
          </w:tcPr>
          <w:p>
            <w:pPr>
              <w:widowControl/>
              <w:spacing w:line="240" w:lineRule="exact"/>
              <w:jc w:val="center"/>
              <w:rPr>
                <w:rFonts w:eastAsia="仿宋" w:cs="仿宋"/>
                <w:b/>
                <w:kern w:val="0"/>
                <w:sz w:val="24"/>
                <w:szCs w:val="24"/>
              </w:rPr>
            </w:pPr>
            <w:r>
              <w:rPr>
                <w:rFonts w:hint="eastAsia" w:eastAsia="仿宋" w:cs="仿宋"/>
                <w:b/>
                <w:kern w:val="0"/>
                <w:sz w:val="24"/>
                <w:szCs w:val="24"/>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cantSplit/>
          <w:trHeight w:val="454" w:hRule="atLeast"/>
          <w:jc w:val="center"/>
        </w:trPr>
        <w:tc>
          <w:tcPr>
            <w:tcW w:w="558"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经</w:t>
            </w:r>
          </w:p>
          <w:p>
            <w:pPr>
              <w:widowControl/>
              <w:spacing w:line="240" w:lineRule="exact"/>
              <w:jc w:val="center"/>
              <w:rPr>
                <w:rFonts w:eastAsia="仿宋" w:cs="仿宋"/>
                <w:bCs/>
                <w:kern w:val="0"/>
                <w:sz w:val="24"/>
                <w:szCs w:val="24"/>
              </w:rPr>
            </w:pPr>
            <w:r>
              <w:rPr>
                <w:rFonts w:hint="eastAsia" w:eastAsia="仿宋" w:cs="仿宋"/>
                <w:bCs/>
                <w:kern w:val="0"/>
                <w:sz w:val="24"/>
                <w:szCs w:val="24"/>
              </w:rPr>
              <w:t>济</w:t>
            </w:r>
          </w:p>
          <w:p>
            <w:pPr>
              <w:widowControl/>
              <w:spacing w:line="240" w:lineRule="exact"/>
              <w:jc w:val="center"/>
              <w:rPr>
                <w:rFonts w:eastAsia="仿宋" w:cs="仿宋"/>
                <w:bCs/>
                <w:kern w:val="0"/>
                <w:sz w:val="24"/>
                <w:szCs w:val="24"/>
              </w:rPr>
            </w:pPr>
            <w:r>
              <w:rPr>
                <w:rFonts w:hint="eastAsia" w:eastAsia="仿宋" w:cs="仿宋"/>
                <w:bCs/>
                <w:kern w:val="0"/>
                <w:sz w:val="24"/>
                <w:szCs w:val="24"/>
              </w:rPr>
              <w:t>发</w:t>
            </w:r>
          </w:p>
          <w:p>
            <w:pPr>
              <w:widowControl/>
              <w:spacing w:line="240" w:lineRule="exact"/>
              <w:jc w:val="center"/>
              <w:rPr>
                <w:rFonts w:eastAsia="仿宋" w:cs="仿宋"/>
                <w:bCs/>
                <w:kern w:val="0"/>
                <w:sz w:val="24"/>
                <w:szCs w:val="24"/>
              </w:rPr>
            </w:pPr>
            <w:r>
              <w:rPr>
                <w:rFonts w:hint="eastAsia" w:eastAsia="仿宋" w:cs="仿宋"/>
                <w:bCs/>
                <w:kern w:val="0"/>
                <w:sz w:val="24"/>
                <w:szCs w:val="24"/>
              </w:rPr>
              <w:t>展</w:t>
            </w:r>
          </w:p>
        </w:tc>
        <w:tc>
          <w:tcPr>
            <w:tcW w:w="34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农民年人均纯收入</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元/人</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≥6000</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8000</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8372</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r>
              <w:rPr>
                <w:rFonts w:eastAsia="仿宋" w:cs="仿宋"/>
                <w:bCs/>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cantSplit/>
          <w:trHeight w:val="454" w:hRule="atLeas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2</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单位GDP能耗</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吨标煤/万元</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≤0.9</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0.6</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0.366（</w:t>
            </w:r>
            <w:r>
              <w:rPr>
                <w:rFonts w:hint="eastAsia"/>
              </w:rPr>
              <w:t>2</w:t>
            </w:r>
            <w:r>
              <w:t>0</w:t>
            </w:r>
            <w:r>
              <w:rPr>
                <w:rFonts w:hint="eastAsia"/>
              </w:rPr>
              <w:t>19</w:t>
            </w:r>
            <w:r>
              <w:rPr>
                <w:rFonts w:hint="eastAsia" w:ascii="仿宋" w:hAnsi="仿宋" w:eastAsia="仿宋"/>
                <w:sz w:val="24"/>
                <w:szCs w:val="24"/>
              </w:rPr>
              <w:t>年值</w:t>
            </w:r>
            <w:r>
              <w:rPr>
                <w:rFonts w:hint="eastAsia" w:eastAsia="仿宋" w:cs="仿宋"/>
                <w:bCs/>
                <w:kern w:val="0"/>
                <w:sz w:val="24"/>
                <w:szCs w:val="24"/>
              </w:rPr>
              <w:t>）</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cantSplit/>
          <w:trHeight w:val="454" w:hRule="atLeas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3</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单位工业增加值新鲜水耗</w:t>
            </w:r>
          </w:p>
        </w:tc>
        <w:tc>
          <w:tcPr>
            <w:tcW w:w="1660"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m</w:t>
            </w:r>
            <w:r>
              <w:rPr>
                <w:rFonts w:hint="eastAsia" w:eastAsia="仿宋" w:cs="仿宋"/>
                <w:bCs/>
                <w:kern w:val="0"/>
                <w:sz w:val="24"/>
                <w:szCs w:val="24"/>
                <w:vertAlign w:val="superscript"/>
              </w:rPr>
              <w:t>3</w:t>
            </w:r>
            <w:r>
              <w:rPr>
                <w:rFonts w:hint="eastAsia" w:eastAsia="仿宋" w:cs="仿宋"/>
                <w:bCs/>
                <w:kern w:val="0"/>
                <w:sz w:val="24"/>
                <w:szCs w:val="24"/>
              </w:rPr>
              <w:t>/万元</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≤20</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15</w:t>
            </w:r>
          </w:p>
        </w:tc>
        <w:tc>
          <w:tcPr>
            <w:tcW w:w="1230" w:type="dxa"/>
            <w:vAlign w:val="center"/>
          </w:tcPr>
          <w:p>
            <w:pPr>
              <w:widowControl/>
              <w:spacing w:line="240" w:lineRule="exact"/>
              <w:jc w:val="center"/>
              <w:rPr>
                <w:rFonts w:eastAsia="仿宋" w:cs="仿宋"/>
                <w:bCs/>
                <w:kern w:val="0"/>
                <w:sz w:val="24"/>
                <w:szCs w:val="24"/>
              </w:rPr>
            </w:pPr>
          </w:p>
        </w:tc>
        <w:tc>
          <w:tcPr>
            <w:tcW w:w="989" w:type="dxa"/>
            <w:vAlign w:val="center"/>
          </w:tcPr>
          <w:p>
            <w:pPr>
              <w:widowControl/>
              <w:spacing w:line="240" w:lineRule="exact"/>
              <w:jc w:val="center"/>
              <w:rPr>
                <w:rFonts w:eastAsia="仿宋" w:cs="仿宋"/>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cantSplit/>
          <w:trHeight w:val="454" w:hRule="atLeas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continue"/>
            <w:vAlign w:val="center"/>
          </w:tcPr>
          <w:p>
            <w:pPr>
              <w:widowControl/>
              <w:spacing w:line="240" w:lineRule="exact"/>
              <w:jc w:val="center"/>
              <w:rPr>
                <w:rFonts w:eastAsia="仿宋" w:cs="仿宋"/>
                <w:bCs/>
                <w:kern w:val="0"/>
                <w:sz w:val="24"/>
                <w:szCs w:val="24"/>
              </w:rPr>
            </w:pP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农业灌溉水有效利用系数</w:t>
            </w:r>
          </w:p>
        </w:tc>
        <w:tc>
          <w:tcPr>
            <w:tcW w:w="1660" w:type="dxa"/>
            <w:vMerge w:val="continue"/>
            <w:vAlign w:val="center"/>
          </w:tcPr>
          <w:p>
            <w:pPr>
              <w:widowControl/>
              <w:spacing w:line="240" w:lineRule="exact"/>
              <w:jc w:val="center"/>
              <w:rPr>
                <w:rFonts w:eastAsia="仿宋" w:cs="仿宋"/>
                <w:bCs/>
                <w:kern w:val="0"/>
                <w:sz w:val="24"/>
                <w:szCs w:val="24"/>
              </w:rPr>
            </w:pP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≥0.55</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0.65</w:t>
            </w:r>
          </w:p>
        </w:tc>
        <w:tc>
          <w:tcPr>
            <w:tcW w:w="1230" w:type="dxa"/>
            <w:vAlign w:val="center"/>
          </w:tcPr>
          <w:p>
            <w:pPr>
              <w:widowControl/>
              <w:spacing w:line="240" w:lineRule="exact"/>
              <w:jc w:val="center"/>
              <w:rPr>
                <w:rFonts w:eastAsia="仿宋" w:cs="仿宋"/>
                <w:bCs/>
                <w:kern w:val="0"/>
                <w:sz w:val="24"/>
                <w:szCs w:val="24"/>
              </w:rPr>
            </w:pPr>
          </w:p>
        </w:tc>
        <w:tc>
          <w:tcPr>
            <w:tcW w:w="989" w:type="dxa"/>
            <w:vAlign w:val="center"/>
          </w:tcPr>
          <w:p>
            <w:pPr>
              <w:widowControl/>
              <w:spacing w:line="240" w:lineRule="exact"/>
              <w:jc w:val="center"/>
              <w:rPr>
                <w:rFonts w:eastAsia="仿宋" w:cs="仿宋"/>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cantSplit/>
          <w:jc w:val="center"/>
        </w:trPr>
        <w:tc>
          <w:tcPr>
            <w:tcW w:w="558"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生</w:t>
            </w:r>
          </w:p>
          <w:p>
            <w:pPr>
              <w:widowControl/>
              <w:spacing w:line="240" w:lineRule="exact"/>
              <w:jc w:val="center"/>
              <w:rPr>
                <w:rFonts w:eastAsia="仿宋" w:cs="仿宋"/>
                <w:bCs/>
                <w:kern w:val="0"/>
                <w:sz w:val="24"/>
                <w:szCs w:val="24"/>
              </w:rPr>
            </w:pPr>
            <w:r>
              <w:rPr>
                <w:rFonts w:hint="eastAsia" w:eastAsia="仿宋" w:cs="仿宋"/>
                <w:bCs/>
                <w:kern w:val="0"/>
                <w:sz w:val="24"/>
                <w:szCs w:val="24"/>
              </w:rPr>
              <w:t>态</w:t>
            </w:r>
          </w:p>
          <w:p>
            <w:pPr>
              <w:widowControl/>
              <w:spacing w:line="240" w:lineRule="exact"/>
              <w:jc w:val="center"/>
              <w:rPr>
                <w:rFonts w:eastAsia="仿宋" w:cs="仿宋"/>
                <w:bCs/>
                <w:kern w:val="0"/>
                <w:sz w:val="24"/>
                <w:szCs w:val="24"/>
              </w:rPr>
            </w:pPr>
            <w:r>
              <w:rPr>
                <w:rFonts w:hint="eastAsia" w:eastAsia="仿宋" w:cs="仿宋"/>
                <w:bCs/>
                <w:kern w:val="0"/>
                <w:sz w:val="24"/>
                <w:szCs w:val="24"/>
              </w:rPr>
              <w:t>环</w:t>
            </w:r>
          </w:p>
          <w:p>
            <w:pPr>
              <w:widowControl/>
              <w:spacing w:line="240" w:lineRule="exact"/>
              <w:jc w:val="center"/>
              <w:rPr>
                <w:rFonts w:eastAsia="仿宋" w:cs="仿宋"/>
                <w:bCs/>
                <w:kern w:val="0"/>
                <w:sz w:val="24"/>
                <w:szCs w:val="24"/>
              </w:rPr>
            </w:pPr>
            <w:r>
              <w:rPr>
                <w:rFonts w:hint="eastAsia" w:eastAsia="仿宋" w:cs="仿宋"/>
                <w:bCs/>
                <w:kern w:val="0"/>
                <w:sz w:val="24"/>
                <w:szCs w:val="24"/>
              </w:rPr>
              <w:t>境</w:t>
            </w:r>
          </w:p>
          <w:p>
            <w:pPr>
              <w:widowControl/>
              <w:spacing w:line="240" w:lineRule="exact"/>
              <w:jc w:val="center"/>
              <w:rPr>
                <w:rFonts w:eastAsia="仿宋" w:cs="仿宋"/>
                <w:bCs/>
                <w:kern w:val="0"/>
                <w:sz w:val="24"/>
                <w:szCs w:val="24"/>
              </w:rPr>
            </w:pPr>
            <w:r>
              <w:rPr>
                <w:rFonts w:hint="eastAsia" w:eastAsia="仿宋" w:cs="仿宋"/>
                <w:bCs/>
                <w:kern w:val="0"/>
                <w:sz w:val="24"/>
                <w:szCs w:val="24"/>
              </w:rPr>
              <w:t>保</w:t>
            </w:r>
          </w:p>
          <w:p>
            <w:pPr>
              <w:widowControl/>
              <w:spacing w:line="240" w:lineRule="exact"/>
              <w:jc w:val="center"/>
              <w:rPr>
                <w:rFonts w:eastAsia="仿宋" w:cs="仿宋"/>
                <w:bCs/>
                <w:kern w:val="0"/>
                <w:sz w:val="24"/>
                <w:szCs w:val="24"/>
              </w:rPr>
            </w:pPr>
            <w:r>
              <w:rPr>
                <w:rFonts w:hint="eastAsia" w:eastAsia="仿宋" w:cs="仿宋"/>
                <w:bCs/>
                <w:kern w:val="0"/>
                <w:sz w:val="24"/>
                <w:szCs w:val="24"/>
              </w:rPr>
              <w:t>护</w:t>
            </w:r>
          </w:p>
        </w:tc>
        <w:tc>
          <w:tcPr>
            <w:tcW w:w="34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4</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森林覆盖率（丘陵区）</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≥45</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53</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42.33</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5</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受保护地区占国土面积比例（丘陵区）</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≥20</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45</w:t>
            </w:r>
          </w:p>
        </w:tc>
        <w:tc>
          <w:tcPr>
            <w:tcW w:w="1230" w:type="dxa"/>
            <w:vAlign w:val="center"/>
          </w:tcPr>
          <w:p>
            <w:pPr>
              <w:widowControl/>
              <w:spacing w:line="240" w:lineRule="exact"/>
              <w:jc w:val="center"/>
              <w:rPr>
                <w:rFonts w:eastAsia="仿宋" w:cs="仿宋"/>
                <w:bCs/>
                <w:kern w:val="0"/>
                <w:sz w:val="24"/>
                <w:szCs w:val="24"/>
              </w:rPr>
            </w:pPr>
          </w:p>
        </w:tc>
        <w:tc>
          <w:tcPr>
            <w:tcW w:w="989" w:type="dxa"/>
            <w:vAlign w:val="center"/>
          </w:tcPr>
          <w:p>
            <w:pPr>
              <w:widowControl/>
              <w:spacing w:line="240" w:lineRule="exact"/>
              <w:jc w:val="center"/>
              <w:rPr>
                <w:rFonts w:eastAsia="仿宋" w:cs="仿宋"/>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cantSplit/>
          <w:trHeight w:val="360" w:hRule="atLeas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6</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空气环境质量</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达到功能区标准</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达标</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达标</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 w:type="dxa"/>
            <w:left w:w="51" w:type="dxa"/>
            <w:bottom w:w="5" w:type="dxa"/>
            <w:right w:w="51" w:type="dxa"/>
          </w:tblCellMar>
        </w:tblPrEx>
        <w:trPr>
          <w:cantSplit/>
          <w:trHeight w:val="415" w:hRule="atLeas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7</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水环境质量</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达到功能区标准</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达标</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达标</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663" w:hRule="atLeas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8</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噪声环境质量</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达到功能区标准</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达标</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达标</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9</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化学需氧量（COD）排放强度</w:t>
            </w:r>
          </w:p>
        </w:tc>
        <w:tc>
          <w:tcPr>
            <w:tcW w:w="1660"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千克/万元(GDP)</w:t>
            </w:r>
          </w:p>
        </w:tc>
        <w:tc>
          <w:tcPr>
            <w:tcW w:w="617"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＜3.5</w:t>
            </w:r>
          </w:p>
        </w:tc>
        <w:tc>
          <w:tcPr>
            <w:tcW w:w="2703"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且不超过国家总量控制指标</w:t>
            </w:r>
          </w:p>
        </w:tc>
        <w:tc>
          <w:tcPr>
            <w:tcW w:w="1283" w:type="dxa"/>
            <w:vAlign w:val="center"/>
          </w:tcPr>
          <w:p>
            <w:pPr>
              <w:widowControl/>
              <w:spacing w:line="240" w:lineRule="exact"/>
              <w:jc w:val="center"/>
              <w:rPr>
                <w:rFonts w:eastAsia="仿宋" w:cs="仿宋"/>
                <w:bCs/>
                <w:kern w:val="0"/>
                <w:sz w:val="24"/>
                <w:szCs w:val="24"/>
              </w:rPr>
            </w:pP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达标</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continue"/>
            <w:vAlign w:val="center"/>
          </w:tcPr>
          <w:p>
            <w:pPr>
              <w:widowControl/>
              <w:spacing w:line="240" w:lineRule="exact"/>
              <w:jc w:val="center"/>
              <w:rPr>
                <w:rFonts w:eastAsia="仿宋" w:cs="仿宋"/>
                <w:bCs/>
                <w:kern w:val="0"/>
                <w:sz w:val="24"/>
                <w:szCs w:val="24"/>
              </w:rPr>
            </w:pP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二氧化硫（SO</w:t>
            </w:r>
            <w:r>
              <w:rPr>
                <w:rFonts w:hint="eastAsia" w:eastAsia="仿宋" w:cs="仿宋"/>
                <w:bCs/>
                <w:kern w:val="0"/>
                <w:sz w:val="24"/>
                <w:szCs w:val="24"/>
                <w:vertAlign w:val="subscript"/>
              </w:rPr>
              <w:t>2</w:t>
            </w:r>
            <w:r>
              <w:rPr>
                <w:rFonts w:hint="eastAsia" w:eastAsia="仿宋" w:cs="仿宋"/>
                <w:bCs/>
                <w:kern w:val="0"/>
                <w:sz w:val="24"/>
                <w:szCs w:val="24"/>
              </w:rPr>
              <w:t>）排放强度</w:t>
            </w:r>
          </w:p>
        </w:tc>
        <w:tc>
          <w:tcPr>
            <w:tcW w:w="1660" w:type="dxa"/>
            <w:vMerge w:val="continue"/>
            <w:vAlign w:val="center"/>
          </w:tcPr>
          <w:p>
            <w:pPr>
              <w:widowControl/>
              <w:spacing w:line="240" w:lineRule="exact"/>
              <w:jc w:val="center"/>
              <w:rPr>
                <w:rFonts w:eastAsia="仿宋" w:cs="仿宋"/>
                <w:bCs/>
                <w:kern w:val="0"/>
                <w:sz w:val="24"/>
                <w:szCs w:val="24"/>
              </w:rPr>
            </w:pPr>
          </w:p>
        </w:tc>
        <w:tc>
          <w:tcPr>
            <w:tcW w:w="617"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＜4.5</w:t>
            </w:r>
          </w:p>
        </w:tc>
        <w:tc>
          <w:tcPr>
            <w:tcW w:w="2703" w:type="dxa"/>
            <w:vMerge w:val="continue"/>
            <w:vAlign w:val="center"/>
          </w:tcPr>
          <w:p>
            <w:pPr>
              <w:widowControl/>
              <w:spacing w:line="240" w:lineRule="exact"/>
              <w:jc w:val="center"/>
              <w:rPr>
                <w:rFonts w:eastAsia="仿宋" w:cs="仿宋"/>
                <w:bCs/>
                <w:kern w:val="0"/>
                <w:sz w:val="24"/>
                <w:szCs w:val="24"/>
              </w:rPr>
            </w:pPr>
          </w:p>
        </w:tc>
        <w:tc>
          <w:tcPr>
            <w:tcW w:w="1283" w:type="dxa"/>
            <w:vAlign w:val="center"/>
          </w:tcPr>
          <w:p>
            <w:pPr>
              <w:widowControl/>
              <w:spacing w:line="240" w:lineRule="exact"/>
              <w:jc w:val="center"/>
              <w:rPr>
                <w:rFonts w:eastAsia="仿宋" w:cs="仿宋"/>
                <w:bCs/>
                <w:kern w:val="0"/>
                <w:sz w:val="24"/>
                <w:szCs w:val="24"/>
              </w:rPr>
            </w:pP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达标</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w:t>
            </w:r>
            <w:r>
              <w:rPr>
                <w:rFonts w:eastAsia="仿宋" w:cs="仿宋"/>
                <w:bCs/>
                <w:kern w:val="0"/>
                <w:sz w:val="24"/>
                <w:szCs w:val="24"/>
              </w:rPr>
              <w:t>0</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城镇污水集中处理率</w:t>
            </w:r>
          </w:p>
        </w:tc>
        <w:tc>
          <w:tcPr>
            <w:tcW w:w="1660"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≥80</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90</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97.1</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240" w:hRule="atLeas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continue"/>
            <w:vAlign w:val="center"/>
          </w:tcPr>
          <w:p>
            <w:pPr>
              <w:widowControl/>
              <w:spacing w:line="240" w:lineRule="exact"/>
              <w:jc w:val="center"/>
              <w:rPr>
                <w:rFonts w:eastAsia="仿宋" w:cs="仿宋"/>
                <w:bCs/>
                <w:kern w:val="0"/>
                <w:sz w:val="24"/>
                <w:szCs w:val="24"/>
              </w:rPr>
            </w:pP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工业用水重复率</w:t>
            </w:r>
          </w:p>
        </w:tc>
        <w:tc>
          <w:tcPr>
            <w:tcW w:w="1660" w:type="dxa"/>
            <w:vMerge w:val="continue"/>
            <w:vAlign w:val="center"/>
          </w:tcPr>
          <w:p>
            <w:pPr>
              <w:widowControl/>
              <w:spacing w:line="240" w:lineRule="exact"/>
              <w:jc w:val="center"/>
              <w:rPr>
                <w:rFonts w:eastAsia="仿宋" w:cs="仿宋"/>
                <w:bCs/>
                <w:kern w:val="0"/>
                <w:sz w:val="24"/>
                <w:szCs w:val="24"/>
              </w:rPr>
            </w:pP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≥80</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85</w:t>
            </w:r>
          </w:p>
        </w:tc>
        <w:tc>
          <w:tcPr>
            <w:tcW w:w="1230" w:type="dxa"/>
            <w:vAlign w:val="center"/>
          </w:tcPr>
          <w:p>
            <w:pPr>
              <w:widowControl/>
              <w:spacing w:line="240" w:lineRule="exact"/>
              <w:jc w:val="center"/>
              <w:rPr>
                <w:rFonts w:eastAsia="仿宋" w:cs="仿宋"/>
                <w:bCs/>
                <w:kern w:val="0"/>
                <w:sz w:val="24"/>
                <w:szCs w:val="24"/>
              </w:rPr>
            </w:pPr>
          </w:p>
        </w:tc>
        <w:tc>
          <w:tcPr>
            <w:tcW w:w="989" w:type="dxa"/>
            <w:vAlign w:val="center"/>
          </w:tcPr>
          <w:p>
            <w:pPr>
              <w:widowControl/>
              <w:spacing w:line="240" w:lineRule="exact"/>
              <w:jc w:val="center"/>
              <w:rPr>
                <w:rFonts w:eastAsia="仿宋" w:cs="仿宋"/>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生</w:t>
            </w:r>
          </w:p>
          <w:p>
            <w:pPr>
              <w:widowControl/>
              <w:spacing w:line="240" w:lineRule="exact"/>
              <w:jc w:val="center"/>
              <w:rPr>
                <w:rFonts w:eastAsia="仿宋" w:cs="仿宋"/>
                <w:bCs/>
                <w:kern w:val="0"/>
                <w:sz w:val="24"/>
                <w:szCs w:val="24"/>
              </w:rPr>
            </w:pPr>
            <w:r>
              <w:rPr>
                <w:rFonts w:hint="eastAsia" w:eastAsia="仿宋" w:cs="仿宋"/>
                <w:bCs/>
                <w:kern w:val="0"/>
                <w:sz w:val="24"/>
                <w:szCs w:val="24"/>
              </w:rPr>
              <w:t>态</w:t>
            </w:r>
          </w:p>
          <w:p>
            <w:pPr>
              <w:widowControl/>
              <w:spacing w:line="240" w:lineRule="exact"/>
              <w:jc w:val="center"/>
              <w:rPr>
                <w:rFonts w:eastAsia="仿宋" w:cs="仿宋"/>
                <w:bCs/>
                <w:kern w:val="0"/>
                <w:sz w:val="24"/>
                <w:szCs w:val="24"/>
              </w:rPr>
            </w:pPr>
            <w:r>
              <w:rPr>
                <w:rFonts w:hint="eastAsia" w:eastAsia="仿宋" w:cs="仿宋"/>
                <w:bCs/>
                <w:kern w:val="0"/>
                <w:sz w:val="24"/>
                <w:szCs w:val="24"/>
              </w:rPr>
              <w:t>环</w:t>
            </w:r>
          </w:p>
          <w:p>
            <w:pPr>
              <w:widowControl/>
              <w:spacing w:line="240" w:lineRule="exact"/>
              <w:jc w:val="center"/>
              <w:rPr>
                <w:rFonts w:eastAsia="仿宋" w:cs="仿宋"/>
                <w:bCs/>
                <w:kern w:val="0"/>
                <w:sz w:val="24"/>
                <w:szCs w:val="24"/>
              </w:rPr>
            </w:pPr>
            <w:r>
              <w:rPr>
                <w:rFonts w:hint="eastAsia" w:eastAsia="仿宋" w:cs="仿宋"/>
                <w:bCs/>
                <w:kern w:val="0"/>
                <w:sz w:val="24"/>
                <w:szCs w:val="24"/>
              </w:rPr>
              <w:t>境</w:t>
            </w:r>
          </w:p>
          <w:p>
            <w:pPr>
              <w:widowControl/>
              <w:spacing w:line="240" w:lineRule="exact"/>
              <w:jc w:val="center"/>
              <w:rPr>
                <w:rFonts w:eastAsia="仿宋" w:cs="仿宋"/>
                <w:bCs/>
                <w:kern w:val="0"/>
                <w:sz w:val="24"/>
                <w:szCs w:val="24"/>
              </w:rPr>
            </w:pPr>
            <w:r>
              <w:rPr>
                <w:rFonts w:hint="eastAsia" w:eastAsia="仿宋" w:cs="仿宋"/>
                <w:bCs/>
                <w:kern w:val="0"/>
                <w:sz w:val="24"/>
                <w:szCs w:val="24"/>
              </w:rPr>
              <w:t>保</w:t>
            </w:r>
          </w:p>
        </w:tc>
        <w:tc>
          <w:tcPr>
            <w:tcW w:w="343"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w:t>
            </w:r>
            <w:r>
              <w:rPr>
                <w:rFonts w:eastAsia="仿宋" w:cs="仿宋"/>
                <w:bCs/>
                <w:kern w:val="0"/>
                <w:sz w:val="24"/>
                <w:szCs w:val="24"/>
              </w:rPr>
              <w:t>1</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城镇生活垃圾无害化处理率</w:t>
            </w:r>
          </w:p>
        </w:tc>
        <w:tc>
          <w:tcPr>
            <w:tcW w:w="1660"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617"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≥90</w:t>
            </w:r>
          </w:p>
        </w:tc>
        <w:tc>
          <w:tcPr>
            <w:tcW w:w="2703"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且无危险废物排放</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100</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100</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continue"/>
            <w:vAlign w:val="center"/>
          </w:tcPr>
          <w:p>
            <w:pPr>
              <w:widowControl/>
              <w:spacing w:line="240" w:lineRule="exact"/>
              <w:jc w:val="center"/>
              <w:rPr>
                <w:rFonts w:eastAsia="仿宋" w:cs="仿宋"/>
                <w:bCs/>
                <w:kern w:val="0"/>
                <w:sz w:val="24"/>
                <w:szCs w:val="24"/>
              </w:rPr>
            </w:pP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工业固体废物处置利用率</w:t>
            </w:r>
          </w:p>
        </w:tc>
        <w:tc>
          <w:tcPr>
            <w:tcW w:w="1660" w:type="dxa"/>
            <w:vMerge w:val="continue"/>
            <w:vAlign w:val="center"/>
          </w:tcPr>
          <w:p>
            <w:pPr>
              <w:widowControl/>
              <w:spacing w:line="240" w:lineRule="exact"/>
              <w:jc w:val="center"/>
              <w:rPr>
                <w:rFonts w:eastAsia="仿宋" w:cs="仿宋"/>
                <w:bCs/>
                <w:kern w:val="0"/>
                <w:sz w:val="24"/>
                <w:szCs w:val="24"/>
              </w:rPr>
            </w:pPr>
          </w:p>
        </w:tc>
        <w:tc>
          <w:tcPr>
            <w:tcW w:w="617"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≥90</w:t>
            </w:r>
          </w:p>
        </w:tc>
        <w:tc>
          <w:tcPr>
            <w:tcW w:w="2703" w:type="dxa"/>
            <w:vMerge w:val="continue"/>
            <w:vAlign w:val="center"/>
          </w:tcPr>
          <w:p>
            <w:pPr>
              <w:widowControl/>
              <w:spacing w:line="240" w:lineRule="exact"/>
              <w:jc w:val="center"/>
              <w:rPr>
                <w:rFonts w:eastAsia="仿宋" w:cs="仿宋"/>
                <w:bCs/>
                <w:kern w:val="0"/>
                <w:sz w:val="24"/>
                <w:szCs w:val="24"/>
              </w:rPr>
            </w:pP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86</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86</w:t>
            </w:r>
            <w:r>
              <w:rPr>
                <w:rFonts w:hint="eastAsia"/>
              </w:rPr>
              <w:t>（2</w:t>
            </w:r>
            <w:r>
              <w:t>0</w:t>
            </w:r>
            <w:r>
              <w:rPr>
                <w:rFonts w:hint="eastAsia"/>
              </w:rPr>
              <w:t>19</w:t>
            </w:r>
            <w:r>
              <w:rPr>
                <w:rFonts w:hint="eastAsia" w:ascii="仿宋" w:hAnsi="仿宋" w:eastAsia="仿宋"/>
                <w:sz w:val="24"/>
                <w:szCs w:val="24"/>
              </w:rPr>
              <w:t>年值</w:t>
            </w:r>
            <w:r>
              <w:rPr>
                <w:rFonts w:hint="eastAsia"/>
              </w:rPr>
              <w:t>）</w:t>
            </w:r>
          </w:p>
        </w:tc>
        <w:tc>
          <w:tcPr>
            <w:tcW w:w="989" w:type="dxa"/>
            <w:vAlign w:val="center"/>
          </w:tcPr>
          <w:p>
            <w:pPr>
              <w:widowControl/>
              <w:spacing w:line="240" w:lineRule="exact"/>
              <w:jc w:val="center"/>
              <w:rPr>
                <w:rFonts w:eastAsia="仿宋" w:cs="仿宋"/>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w:t>
            </w:r>
            <w:r>
              <w:rPr>
                <w:rFonts w:eastAsia="仿宋" w:cs="仿宋"/>
                <w:bCs/>
                <w:kern w:val="0"/>
                <w:sz w:val="24"/>
                <w:szCs w:val="24"/>
              </w:rPr>
              <w:t>2</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城镇人均公共绿地面积</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m</w:t>
            </w:r>
            <w:r>
              <w:rPr>
                <w:rFonts w:hint="eastAsia" w:eastAsia="仿宋" w:cs="仿宋"/>
                <w:bCs/>
                <w:kern w:val="0"/>
                <w:sz w:val="24"/>
                <w:szCs w:val="24"/>
                <w:vertAlign w:val="superscript"/>
              </w:rPr>
              <w:t>2</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≥12</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12.5</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13.61</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Align w:val="center"/>
          </w:tcPr>
          <w:p>
            <w:pPr>
              <w:widowControl/>
              <w:spacing w:line="240" w:lineRule="exact"/>
              <w:jc w:val="center"/>
              <w:rPr>
                <w:rFonts w:eastAsia="仿宋" w:cs="仿宋"/>
                <w:bCs/>
                <w:kern w:val="0"/>
                <w:sz w:val="24"/>
                <w:szCs w:val="24"/>
              </w:rPr>
            </w:pPr>
            <w:r>
              <w:rPr>
                <w:rFonts w:eastAsia="仿宋" w:cs="仿宋"/>
                <w:bCs/>
                <w:kern w:val="0"/>
                <w:sz w:val="24"/>
                <w:szCs w:val="24"/>
              </w:rPr>
              <w:t>13</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规模化畜禽养殖场粪便综合利用率</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≥95</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95</w:t>
            </w:r>
          </w:p>
        </w:tc>
        <w:tc>
          <w:tcPr>
            <w:tcW w:w="1230" w:type="dxa"/>
            <w:vAlign w:val="center"/>
          </w:tcPr>
          <w:p>
            <w:pPr>
              <w:widowControl/>
              <w:spacing w:line="240" w:lineRule="exact"/>
              <w:jc w:val="center"/>
              <w:rPr>
                <w:rFonts w:eastAsia="仿宋" w:cs="仿宋"/>
                <w:bCs/>
                <w:kern w:val="0"/>
                <w:sz w:val="24"/>
                <w:szCs w:val="24"/>
              </w:rPr>
            </w:pPr>
            <w:r>
              <w:rPr>
                <w:rFonts w:eastAsia="仿宋" w:cs="仿宋"/>
                <w:bCs/>
                <w:kern w:val="0"/>
                <w:sz w:val="24"/>
                <w:szCs w:val="24"/>
              </w:rPr>
              <w:t>90</w:t>
            </w:r>
          </w:p>
        </w:tc>
        <w:tc>
          <w:tcPr>
            <w:tcW w:w="989" w:type="dxa"/>
            <w:vAlign w:val="center"/>
          </w:tcPr>
          <w:p>
            <w:pPr>
              <w:widowControl/>
              <w:spacing w:line="240" w:lineRule="exact"/>
              <w:jc w:val="center"/>
              <w:rPr>
                <w:rFonts w:eastAsia="仿宋" w:cs="仿宋"/>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w:t>
            </w:r>
            <w:r>
              <w:rPr>
                <w:rFonts w:eastAsia="仿宋" w:cs="仿宋"/>
                <w:bCs/>
                <w:kern w:val="0"/>
                <w:sz w:val="24"/>
                <w:szCs w:val="24"/>
              </w:rPr>
              <w:t>4</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集中式饮用水源水质达标率</w:t>
            </w:r>
          </w:p>
        </w:tc>
        <w:tc>
          <w:tcPr>
            <w:tcW w:w="1660" w:type="dxa"/>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Merge w:val="restart"/>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100</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100</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100</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Merge w:val="continue"/>
            <w:vAlign w:val="center"/>
          </w:tcPr>
          <w:p>
            <w:pPr>
              <w:widowControl/>
              <w:spacing w:line="240" w:lineRule="exact"/>
              <w:jc w:val="center"/>
              <w:rPr>
                <w:rFonts w:eastAsia="仿宋" w:cs="仿宋"/>
                <w:bCs/>
                <w:kern w:val="0"/>
                <w:sz w:val="24"/>
                <w:szCs w:val="24"/>
              </w:rPr>
            </w:pP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村镇饮用水卫生合格率</w:t>
            </w:r>
          </w:p>
        </w:tc>
        <w:tc>
          <w:tcPr>
            <w:tcW w:w="1660" w:type="dxa"/>
            <w:vMerge w:val="continue"/>
            <w:vAlign w:val="center"/>
          </w:tcPr>
          <w:p>
            <w:pPr>
              <w:widowControl/>
              <w:spacing w:line="240" w:lineRule="exact"/>
              <w:jc w:val="center"/>
              <w:rPr>
                <w:rFonts w:eastAsia="仿宋" w:cs="仿宋"/>
                <w:bCs/>
                <w:kern w:val="0"/>
                <w:sz w:val="24"/>
                <w:szCs w:val="24"/>
              </w:rPr>
            </w:pPr>
          </w:p>
        </w:tc>
        <w:tc>
          <w:tcPr>
            <w:tcW w:w="3320" w:type="dxa"/>
            <w:gridSpan w:val="2"/>
            <w:vMerge w:val="continue"/>
            <w:vAlign w:val="center"/>
          </w:tcPr>
          <w:p>
            <w:pPr>
              <w:widowControl/>
              <w:spacing w:line="240" w:lineRule="exact"/>
              <w:jc w:val="center"/>
              <w:rPr>
                <w:rFonts w:eastAsia="仿宋" w:cs="仿宋"/>
                <w:bCs/>
                <w:kern w:val="0"/>
                <w:sz w:val="24"/>
                <w:szCs w:val="24"/>
              </w:rPr>
            </w:pP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100</w:t>
            </w: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100</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Merge w:val="continue"/>
            <w:vAlign w:val="center"/>
          </w:tcPr>
          <w:p>
            <w:pPr>
              <w:widowControl/>
              <w:spacing w:line="240" w:lineRule="exact"/>
              <w:jc w:val="center"/>
              <w:rPr>
                <w:rFonts w:eastAsia="仿宋" w:cs="仿宋"/>
                <w:bCs/>
                <w:kern w:val="0"/>
                <w:sz w:val="24"/>
                <w:szCs w:val="24"/>
              </w:rPr>
            </w:pPr>
          </w:p>
        </w:tc>
        <w:tc>
          <w:tcPr>
            <w:tcW w:w="343" w:type="dxa"/>
            <w:vAlign w:val="center"/>
          </w:tcPr>
          <w:p>
            <w:pPr>
              <w:widowControl/>
              <w:spacing w:line="240" w:lineRule="exact"/>
              <w:jc w:val="center"/>
              <w:rPr>
                <w:rFonts w:eastAsia="仿宋" w:cs="仿宋"/>
                <w:bCs/>
                <w:kern w:val="0"/>
                <w:sz w:val="24"/>
                <w:szCs w:val="24"/>
              </w:rPr>
            </w:pPr>
            <w:r>
              <w:rPr>
                <w:rFonts w:eastAsia="仿宋" w:cs="仿宋"/>
                <w:bCs/>
                <w:kern w:val="0"/>
                <w:sz w:val="24"/>
                <w:szCs w:val="24"/>
              </w:rPr>
              <w:t>15</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环境保护投资占GDP的比重</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≥3.5</w:t>
            </w:r>
          </w:p>
        </w:tc>
        <w:tc>
          <w:tcPr>
            <w:tcW w:w="1283"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3.8</w:t>
            </w:r>
          </w:p>
        </w:tc>
        <w:tc>
          <w:tcPr>
            <w:tcW w:w="1230" w:type="dxa"/>
            <w:vAlign w:val="center"/>
          </w:tcPr>
          <w:p>
            <w:pPr>
              <w:widowControl/>
              <w:spacing w:line="240" w:lineRule="exact"/>
              <w:jc w:val="center"/>
              <w:rPr>
                <w:rFonts w:eastAsia="仿宋" w:cs="仿宋"/>
                <w:bCs/>
                <w:kern w:val="0"/>
                <w:sz w:val="24"/>
                <w:szCs w:val="24"/>
              </w:rPr>
            </w:pPr>
          </w:p>
        </w:tc>
        <w:tc>
          <w:tcPr>
            <w:tcW w:w="989" w:type="dxa"/>
            <w:vAlign w:val="center"/>
          </w:tcPr>
          <w:p>
            <w:pPr>
              <w:widowControl/>
              <w:spacing w:line="240" w:lineRule="exact"/>
              <w:jc w:val="center"/>
              <w:rPr>
                <w:rFonts w:eastAsia="仿宋" w:cs="仿宋"/>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jc w:val="center"/>
        </w:trPr>
        <w:tc>
          <w:tcPr>
            <w:tcW w:w="558"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社会</w:t>
            </w:r>
          </w:p>
          <w:p>
            <w:pPr>
              <w:widowControl/>
              <w:spacing w:line="240" w:lineRule="exact"/>
              <w:jc w:val="center"/>
              <w:rPr>
                <w:rFonts w:eastAsia="仿宋" w:cs="仿宋"/>
                <w:bCs/>
                <w:kern w:val="0"/>
                <w:sz w:val="24"/>
                <w:szCs w:val="24"/>
              </w:rPr>
            </w:pPr>
            <w:r>
              <w:rPr>
                <w:rFonts w:hint="eastAsia" w:eastAsia="仿宋" w:cs="仿宋"/>
                <w:bCs/>
                <w:kern w:val="0"/>
                <w:sz w:val="24"/>
                <w:szCs w:val="24"/>
              </w:rPr>
              <w:t>进步</w:t>
            </w:r>
          </w:p>
        </w:tc>
        <w:tc>
          <w:tcPr>
            <w:tcW w:w="343" w:type="dxa"/>
            <w:vAlign w:val="center"/>
          </w:tcPr>
          <w:p>
            <w:pPr>
              <w:widowControl/>
              <w:spacing w:line="240" w:lineRule="exact"/>
              <w:jc w:val="center"/>
              <w:rPr>
                <w:rFonts w:eastAsia="仿宋" w:cs="仿宋"/>
                <w:bCs/>
                <w:kern w:val="0"/>
                <w:sz w:val="24"/>
                <w:szCs w:val="24"/>
              </w:rPr>
            </w:pPr>
            <w:r>
              <w:rPr>
                <w:rFonts w:eastAsia="仿宋" w:cs="仿宋"/>
                <w:bCs/>
                <w:kern w:val="0"/>
                <w:sz w:val="24"/>
                <w:szCs w:val="24"/>
              </w:rPr>
              <w:t>16</w:t>
            </w:r>
          </w:p>
        </w:tc>
        <w:tc>
          <w:tcPr>
            <w:tcW w:w="3855"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人口自然增长率</w:t>
            </w:r>
          </w:p>
        </w:tc>
        <w:tc>
          <w:tcPr>
            <w:tcW w:w="166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w:t>
            </w:r>
          </w:p>
        </w:tc>
        <w:tc>
          <w:tcPr>
            <w:tcW w:w="3320" w:type="dxa"/>
            <w:gridSpan w:val="2"/>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符合国家或当地政策</w:t>
            </w:r>
          </w:p>
        </w:tc>
        <w:tc>
          <w:tcPr>
            <w:tcW w:w="1283" w:type="dxa"/>
            <w:vAlign w:val="center"/>
          </w:tcPr>
          <w:p>
            <w:pPr>
              <w:widowControl/>
              <w:spacing w:line="240" w:lineRule="exact"/>
              <w:jc w:val="center"/>
              <w:rPr>
                <w:rFonts w:eastAsia="仿宋" w:cs="仿宋"/>
                <w:bCs/>
                <w:kern w:val="0"/>
                <w:sz w:val="24"/>
                <w:szCs w:val="24"/>
              </w:rPr>
            </w:pPr>
          </w:p>
        </w:tc>
        <w:tc>
          <w:tcPr>
            <w:tcW w:w="1230"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1.39（</w:t>
            </w:r>
            <w:r>
              <w:rPr>
                <w:rFonts w:hint="eastAsia"/>
              </w:rPr>
              <w:t>2</w:t>
            </w:r>
            <w:r>
              <w:t>0</w:t>
            </w:r>
            <w:r>
              <w:rPr>
                <w:rFonts w:hint="eastAsia"/>
              </w:rPr>
              <w:t>19</w:t>
            </w:r>
            <w:r>
              <w:rPr>
                <w:rFonts w:hint="eastAsia" w:ascii="仿宋" w:hAnsi="仿宋" w:eastAsia="仿宋"/>
                <w:sz w:val="24"/>
                <w:szCs w:val="24"/>
              </w:rPr>
              <w:t>年值</w:t>
            </w:r>
            <w:r>
              <w:rPr>
                <w:rFonts w:hint="eastAsia" w:eastAsia="仿宋" w:cs="仿宋"/>
                <w:bCs/>
                <w:kern w:val="0"/>
                <w:sz w:val="24"/>
                <w:szCs w:val="24"/>
              </w:rPr>
              <w:t>）</w:t>
            </w:r>
          </w:p>
        </w:tc>
        <w:tc>
          <w:tcPr>
            <w:tcW w:w="989" w:type="dxa"/>
            <w:vAlign w:val="center"/>
          </w:tcPr>
          <w:p>
            <w:pPr>
              <w:widowControl/>
              <w:spacing w:line="240" w:lineRule="exact"/>
              <w:jc w:val="center"/>
              <w:rPr>
                <w:rFonts w:eastAsia="仿宋" w:cs="仿宋"/>
                <w:bCs/>
                <w:kern w:val="0"/>
                <w:sz w:val="24"/>
                <w:szCs w:val="24"/>
              </w:rPr>
            </w:pPr>
            <w:r>
              <w:rPr>
                <w:rFonts w:hint="eastAsia" w:eastAsia="仿宋" w:cs="仿宋"/>
                <w:bCs/>
                <w:kern w:val="0"/>
                <w:sz w:val="24"/>
                <w:szCs w:val="24"/>
              </w:rPr>
              <w:t>已完成</w:t>
            </w:r>
          </w:p>
        </w:tc>
      </w:tr>
    </w:tbl>
    <w:p>
      <w:pPr>
        <w:pStyle w:val="28"/>
        <w:widowControl w:val="0"/>
        <w:spacing w:before="0" w:beforeAutospacing="0" w:after="0" w:afterAutospacing="0" w:line="360" w:lineRule="auto"/>
        <w:jc w:val="both"/>
        <w:rPr>
          <w:rFonts w:ascii="Times New Roman" w:hAnsi="Times New Roman" w:eastAsia="仿宋"/>
          <w:sz w:val="28"/>
        </w:rPr>
        <w:sectPr>
          <w:pgSz w:w="16838" w:h="11906" w:orient="landscape"/>
          <w:pgMar w:top="1800" w:right="1440" w:bottom="1800" w:left="1440" w:header="851" w:footer="992" w:gutter="0"/>
          <w:cols w:space="720" w:num="1"/>
          <w:docGrid w:type="lines" w:linePitch="312" w:charSpace="0"/>
        </w:sectPr>
      </w:pPr>
    </w:p>
    <w:p>
      <w:pPr>
        <w:keepNext/>
        <w:keepLines/>
        <w:spacing w:line="600" w:lineRule="exact"/>
        <w:outlineLvl w:val="0"/>
        <w:rPr>
          <w:rFonts w:eastAsia="黑体"/>
          <w:b/>
          <w:bCs/>
          <w:kern w:val="44"/>
          <w:sz w:val="32"/>
          <w:szCs w:val="44"/>
        </w:rPr>
      </w:pPr>
      <w:bookmarkStart w:id="20" w:name="_Toc87116134"/>
      <w:r>
        <w:rPr>
          <w:rFonts w:hint="eastAsia" w:eastAsia="黑体"/>
          <w:b/>
          <w:bCs/>
          <w:kern w:val="44"/>
          <w:sz w:val="32"/>
          <w:szCs w:val="44"/>
        </w:rPr>
        <w:t>二、坚持绿色发展，确立</w:t>
      </w:r>
      <w:bookmarkEnd w:id="2"/>
      <w:bookmarkEnd w:id="3"/>
      <w:bookmarkEnd w:id="4"/>
      <w:r>
        <w:rPr>
          <w:rFonts w:hint="eastAsia" w:eastAsia="黑体"/>
          <w:b/>
          <w:bCs/>
          <w:kern w:val="44"/>
          <w:sz w:val="32"/>
          <w:szCs w:val="44"/>
        </w:rPr>
        <w:t>规划思路</w:t>
      </w:r>
      <w:bookmarkEnd w:id="5"/>
      <w:bookmarkEnd w:id="20"/>
    </w:p>
    <w:p>
      <w:pPr>
        <w:keepNext/>
        <w:keepLines/>
        <w:spacing w:line="600" w:lineRule="exact"/>
        <w:ind w:firstLine="643" w:firstLineChars="200"/>
        <w:jc w:val="left"/>
        <w:outlineLvl w:val="1"/>
        <w:rPr>
          <w:rFonts w:eastAsia="楷体_GB2312"/>
          <w:b/>
          <w:bCs/>
          <w:sz w:val="32"/>
          <w:szCs w:val="32"/>
        </w:rPr>
      </w:pPr>
      <w:bookmarkStart w:id="21" w:name="_Toc52977801"/>
      <w:bookmarkStart w:id="22" w:name="_Toc42069010"/>
      <w:bookmarkStart w:id="23" w:name="_Toc45134567"/>
      <w:bookmarkStart w:id="24" w:name="_Toc45128899"/>
      <w:bookmarkStart w:id="25" w:name="_Toc48404691"/>
      <w:bookmarkStart w:id="26" w:name="_Toc69380481"/>
      <w:bookmarkStart w:id="27" w:name="_Toc87116135"/>
      <w:r>
        <w:rPr>
          <w:rFonts w:hint="eastAsia" w:eastAsia="楷体_GB2312" w:cs="宋体"/>
          <w:b/>
          <w:bCs/>
          <w:sz w:val="32"/>
          <w:szCs w:val="32"/>
        </w:rPr>
        <w:t>（一）</w:t>
      </w:r>
      <w:bookmarkEnd w:id="21"/>
      <w:bookmarkEnd w:id="22"/>
      <w:bookmarkEnd w:id="23"/>
      <w:bookmarkEnd w:id="24"/>
      <w:bookmarkEnd w:id="25"/>
      <w:r>
        <w:rPr>
          <w:rFonts w:hint="eastAsia" w:eastAsia="楷体_GB2312" w:cs="宋体"/>
          <w:b/>
          <w:bCs/>
          <w:sz w:val="32"/>
          <w:szCs w:val="32"/>
        </w:rPr>
        <w:t>指导思想</w:t>
      </w:r>
      <w:bookmarkEnd w:id="26"/>
      <w:bookmarkEnd w:id="27"/>
    </w:p>
    <w:p>
      <w:pPr>
        <w:spacing w:line="360" w:lineRule="auto"/>
        <w:ind w:firstLine="640" w:firstLineChars="200"/>
        <w:rPr>
          <w:rFonts w:eastAsia="仿宋_GB2312"/>
          <w:sz w:val="32"/>
          <w:szCs w:val="32"/>
          <w:lang w:val="zh-CN"/>
        </w:rPr>
      </w:pPr>
      <w:r>
        <w:rPr>
          <w:rFonts w:hint="eastAsia" w:eastAsia="仿宋_GB2312"/>
          <w:sz w:val="32"/>
          <w:szCs w:val="32"/>
          <w:lang w:val="zh-CN"/>
        </w:rPr>
        <w:t>以习近平新时代中国特色社会主义思想为指导，贯彻落实党的十九大和</w:t>
      </w:r>
      <w:bookmarkStart w:id="178" w:name="_GoBack"/>
      <w:bookmarkEnd w:id="178"/>
      <w:r>
        <w:rPr>
          <w:rFonts w:hint="eastAsia" w:eastAsia="仿宋_GB2312"/>
          <w:sz w:val="32"/>
          <w:szCs w:val="32"/>
          <w:lang w:val="zh-CN"/>
        </w:rPr>
        <w:t>十九届历次全会精神，</w:t>
      </w:r>
      <w:r>
        <w:rPr>
          <w:rFonts w:hint="eastAsia" w:eastAsia="仿宋_GB2312"/>
          <w:sz w:val="32"/>
          <w:szCs w:val="32"/>
        </w:rPr>
        <w:t>努力践行</w:t>
      </w:r>
      <w:r>
        <w:rPr>
          <w:rFonts w:hint="eastAsia" w:eastAsia="仿宋_GB2312"/>
          <w:sz w:val="32"/>
          <w:szCs w:val="32"/>
          <w:lang w:val="zh-CN"/>
        </w:rPr>
        <w:t>习近平生态文明思想、习近平总书记视察湖南重要讲话精神和《关于深入打好污染防治攻坚战的意见》，立足新发展阶段、贯彻新发展理念、构建新发展格局，坚持以人民为中心，以生态环境质量和生态环境安全为核心，以减污降碳协同治理为总抓手，</w:t>
      </w:r>
      <w:r>
        <w:rPr>
          <w:rFonts w:hint="eastAsia" w:eastAsia="仿宋_GB2312"/>
          <w:sz w:val="32"/>
          <w:szCs w:val="32"/>
        </w:rPr>
        <w:t>持续推动绿色低碳发展，筑牢生态安全屏障，深入打好污染防治攻坚战，着力解决突出生态环境问题，防范化解生态环境风险，推进生态环境治理体系和治理能力现代化</w:t>
      </w:r>
      <w:r>
        <w:rPr>
          <w:rFonts w:hint="eastAsia" w:eastAsia="仿宋_GB2312"/>
          <w:sz w:val="32"/>
          <w:szCs w:val="32"/>
          <w:lang w:val="zh-CN"/>
        </w:rPr>
        <w:t>，使“大美”“生态”“宜居”成为宁乡生态环境的真实写照。</w:t>
      </w:r>
    </w:p>
    <w:p>
      <w:pPr>
        <w:keepNext/>
        <w:keepLines/>
        <w:spacing w:line="600" w:lineRule="exact"/>
        <w:ind w:firstLine="630" w:firstLineChars="196"/>
        <w:jc w:val="left"/>
        <w:outlineLvl w:val="1"/>
        <w:rPr>
          <w:rFonts w:eastAsia="楷体_GB2312"/>
          <w:b/>
          <w:bCs/>
          <w:sz w:val="32"/>
          <w:szCs w:val="32"/>
        </w:rPr>
      </w:pPr>
      <w:bookmarkStart w:id="28" w:name="_Toc69380482"/>
      <w:bookmarkStart w:id="29" w:name="_Toc87116136"/>
      <w:r>
        <w:rPr>
          <w:rFonts w:hint="eastAsia" w:eastAsia="楷体_GB2312" w:cs="宋体"/>
          <w:b/>
          <w:bCs/>
          <w:sz w:val="32"/>
          <w:szCs w:val="32"/>
        </w:rPr>
        <w:t>（二）基本原则</w:t>
      </w:r>
      <w:bookmarkEnd w:id="28"/>
      <w:bookmarkEnd w:id="29"/>
    </w:p>
    <w:p>
      <w:pPr>
        <w:spacing w:line="360" w:lineRule="auto"/>
        <w:ind w:firstLine="643" w:firstLineChars="200"/>
        <w:rPr>
          <w:rFonts w:eastAsia="仿宋_GB2312"/>
          <w:sz w:val="32"/>
          <w:szCs w:val="32"/>
          <w:lang w:val="zh-CN"/>
        </w:rPr>
      </w:pPr>
      <w:r>
        <w:rPr>
          <w:rFonts w:hint="eastAsia" w:eastAsia="仿宋_GB2312"/>
          <w:b/>
          <w:bCs/>
          <w:sz w:val="32"/>
          <w:szCs w:val="32"/>
        </w:rPr>
        <w:t>1.</w:t>
      </w:r>
      <w:r>
        <w:rPr>
          <w:rFonts w:hint="eastAsia" w:eastAsia="仿宋_GB2312"/>
          <w:b/>
          <w:bCs/>
          <w:sz w:val="32"/>
          <w:szCs w:val="32"/>
          <w:lang w:val="zh-CN"/>
        </w:rPr>
        <w:t>坚持党的领导。</w:t>
      </w:r>
      <w:r>
        <w:rPr>
          <w:rFonts w:hint="eastAsia" w:eastAsia="仿宋_GB2312"/>
          <w:sz w:val="32"/>
          <w:szCs w:val="32"/>
          <w:lang w:val="zh-CN"/>
        </w:rPr>
        <w:t>全面加强党对生态环境保护工作的领导，按照“党政同责、一岗双责、属地管理、部门联动、失职追责”的环境监管新机制，构建政府为主导、企业为主体、社会组织和公众共同参与的环境治理体系。</w:t>
      </w:r>
    </w:p>
    <w:p>
      <w:pPr>
        <w:ind w:firstLine="643" w:firstLineChars="200"/>
        <w:rPr>
          <w:rFonts w:eastAsia="仿宋_GB2312"/>
          <w:kern w:val="0"/>
          <w:sz w:val="32"/>
          <w:szCs w:val="32"/>
        </w:rPr>
      </w:pPr>
      <w:r>
        <w:rPr>
          <w:rFonts w:hint="eastAsia" w:eastAsia="仿宋_GB2312"/>
          <w:b/>
          <w:bCs/>
          <w:sz w:val="32"/>
          <w:szCs w:val="32"/>
        </w:rPr>
        <w:t>2.</w:t>
      </w:r>
      <w:r>
        <w:rPr>
          <w:rFonts w:hint="eastAsia" w:eastAsia="仿宋_GB2312"/>
          <w:b/>
          <w:bCs/>
          <w:sz w:val="32"/>
          <w:szCs w:val="32"/>
          <w:lang w:val="zh-CN"/>
        </w:rPr>
        <w:t>坚持人民为中心。</w:t>
      </w:r>
      <w:r>
        <w:rPr>
          <w:rFonts w:hint="eastAsia" w:eastAsia="仿宋_GB2312"/>
          <w:sz w:val="32"/>
          <w:szCs w:val="32"/>
          <w:lang w:val="zh-CN"/>
        </w:rPr>
        <w:t>将改善环境质量、保障人体健康作为根本出发点，加快解决人民群众反映强烈的突出生态环境问题，为人民群众创造良好的生产生活环境，</w:t>
      </w:r>
      <w:r>
        <w:rPr>
          <w:rFonts w:hint="eastAsia" w:eastAsia="仿宋_GB2312"/>
          <w:kern w:val="0"/>
          <w:sz w:val="32"/>
          <w:szCs w:val="32"/>
        </w:rPr>
        <w:t>持续满足人民群众的优质生态需求，不断提高人民群众的获得感、幸福感和安全感。</w:t>
      </w:r>
    </w:p>
    <w:p>
      <w:pPr>
        <w:spacing w:line="360" w:lineRule="auto"/>
        <w:ind w:firstLine="643" w:firstLineChars="200"/>
        <w:rPr>
          <w:rFonts w:eastAsia="仿宋_GB2312"/>
          <w:sz w:val="32"/>
          <w:szCs w:val="32"/>
          <w:lang w:val="zh-CN"/>
        </w:rPr>
      </w:pPr>
      <w:r>
        <w:rPr>
          <w:rFonts w:hint="eastAsia" w:eastAsia="仿宋_GB2312"/>
          <w:b/>
          <w:bCs/>
          <w:sz w:val="32"/>
          <w:szCs w:val="32"/>
        </w:rPr>
        <w:t>3.</w:t>
      </w:r>
      <w:r>
        <w:rPr>
          <w:rFonts w:hint="eastAsia" w:eastAsia="仿宋_GB2312"/>
          <w:b/>
          <w:bCs/>
          <w:sz w:val="32"/>
          <w:szCs w:val="32"/>
          <w:lang w:val="zh-CN"/>
        </w:rPr>
        <w:t>坚持系统治理。</w:t>
      </w:r>
      <w:r>
        <w:rPr>
          <w:rFonts w:hint="eastAsia" w:eastAsia="仿宋_GB2312"/>
          <w:sz w:val="32"/>
          <w:szCs w:val="32"/>
          <w:lang w:val="zh-CN"/>
        </w:rPr>
        <w:t>坚持山水林田湖草系统治理，强化环境要素治理的全局性、整体性、综合性，统筹布局、协同推进气候变化应对与改善生态环境质量，统筹生态保护与污染防治，推进生态环境治理和保护修复。</w:t>
      </w:r>
    </w:p>
    <w:p>
      <w:pPr>
        <w:spacing w:line="360" w:lineRule="auto"/>
        <w:ind w:firstLine="643" w:firstLineChars="200"/>
        <w:rPr>
          <w:rFonts w:eastAsia="仿宋_GB2312"/>
          <w:sz w:val="32"/>
          <w:szCs w:val="32"/>
          <w:lang w:val="zh-CN"/>
        </w:rPr>
      </w:pPr>
      <w:r>
        <w:rPr>
          <w:rFonts w:hint="eastAsia" w:eastAsia="仿宋_GB2312"/>
          <w:b/>
          <w:bCs/>
          <w:sz w:val="32"/>
          <w:szCs w:val="32"/>
        </w:rPr>
        <w:t>4.</w:t>
      </w:r>
      <w:r>
        <w:rPr>
          <w:rFonts w:hint="eastAsia" w:eastAsia="仿宋_GB2312"/>
          <w:b/>
          <w:bCs/>
          <w:sz w:val="32"/>
          <w:szCs w:val="32"/>
          <w:lang w:val="zh-CN"/>
        </w:rPr>
        <w:t>坚持因地制宜。</w:t>
      </w:r>
      <w:r>
        <w:rPr>
          <w:rFonts w:hint="eastAsia" w:eastAsia="仿宋_GB2312"/>
          <w:sz w:val="32"/>
          <w:szCs w:val="32"/>
          <w:lang w:val="zh-CN"/>
        </w:rPr>
        <w:t>客观分析不同区域的生态环境质量状况、主要问题、污染来源、工作基础及经济社会发展现状，坚持问题导向和目标导向，结合当地资源环境禀赋特点，系统设计针对性、差异化的目标、任务、措施。</w:t>
      </w:r>
    </w:p>
    <w:p>
      <w:pPr>
        <w:spacing w:line="360" w:lineRule="auto"/>
        <w:ind w:firstLine="643" w:firstLineChars="200"/>
        <w:rPr>
          <w:rFonts w:eastAsia="仿宋_GB2312"/>
          <w:sz w:val="32"/>
          <w:szCs w:val="32"/>
          <w:lang w:val="zh-CN"/>
        </w:rPr>
      </w:pPr>
      <w:r>
        <w:rPr>
          <w:rFonts w:hint="eastAsia" w:eastAsia="仿宋_GB2312"/>
          <w:b/>
          <w:bCs/>
          <w:sz w:val="32"/>
          <w:szCs w:val="32"/>
        </w:rPr>
        <w:t>5.</w:t>
      </w:r>
      <w:r>
        <w:rPr>
          <w:rFonts w:hint="eastAsia" w:eastAsia="仿宋_GB2312"/>
          <w:b/>
          <w:bCs/>
          <w:sz w:val="32"/>
          <w:szCs w:val="32"/>
          <w:lang w:val="zh-CN"/>
        </w:rPr>
        <w:t>坚持改革创新。</w:t>
      </w:r>
      <w:r>
        <w:rPr>
          <w:rFonts w:hint="eastAsia" w:eastAsia="仿宋_GB2312"/>
          <w:sz w:val="32"/>
          <w:szCs w:val="32"/>
          <w:lang w:val="zh-CN"/>
        </w:rPr>
        <w:t>推进生态环境治理体系和治理能力现代化建设，健全生态环境治理市场化机制，完善“政府、企业、公众”生态环境治理体系，积极探索生态环境保护新模式，强化科技创新引领作用，形成群策群力、多元治理的生态环境治理格局。</w:t>
      </w:r>
    </w:p>
    <w:p>
      <w:pPr>
        <w:keepNext/>
        <w:keepLines/>
        <w:spacing w:line="600" w:lineRule="exact"/>
        <w:ind w:firstLine="630" w:firstLineChars="196"/>
        <w:jc w:val="left"/>
        <w:outlineLvl w:val="1"/>
        <w:rPr>
          <w:rFonts w:eastAsia="楷体_GB2312"/>
          <w:b/>
          <w:bCs/>
          <w:sz w:val="32"/>
          <w:szCs w:val="32"/>
        </w:rPr>
      </w:pPr>
      <w:bookmarkStart w:id="30" w:name="_Toc42069012"/>
      <w:bookmarkStart w:id="31" w:name="_Toc48404693"/>
      <w:bookmarkStart w:id="32" w:name="_Toc87116137"/>
      <w:bookmarkStart w:id="33" w:name="_Toc45134569"/>
      <w:bookmarkStart w:id="34" w:name="_Toc52977803"/>
      <w:bookmarkStart w:id="35" w:name="_Toc69380486"/>
      <w:bookmarkStart w:id="36" w:name="_Toc45128901"/>
      <w:r>
        <w:rPr>
          <w:rFonts w:hint="eastAsia" w:eastAsia="楷体_GB2312" w:cs="宋体"/>
          <w:b/>
          <w:bCs/>
          <w:sz w:val="32"/>
          <w:szCs w:val="32"/>
        </w:rPr>
        <w:t>（三）规划目标</w:t>
      </w:r>
      <w:bookmarkEnd w:id="30"/>
      <w:bookmarkEnd w:id="31"/>
      <w:bookmarkEnd w:id="32"/>
      <w:bookmarkEnd w:id="33"/>
      <w:bookmarkEnd w:id="34"/>
      <w:bookmarkEnd w:id="35"/>
      <w:bookmarkEnd w:id="36"/>
    </w:p>
    <w:p>
      <w:pPr>
        <w:spacing w:line="360" w:lineRule="auto"/>
        <w:ind w:firstLine="640" w:firstLineChars="200"/>
        <w:rPr>
          <w:rFonts w:eastAsia="仿宋_GB2312"/>
          <w:sz w:val="32"/>
          <w:szCs w:val="32"/>
        </w:rPr>
      </w:pPr>
      <w:r>
        <w:rPr>
          <w:rFonts w:hint="eastAsia" w:eastAsia="仿宋_GB2312"/>
          <w:sz w:val="32"/>
          <w:szCs w:val="32"/>
        </w:rPr>
        <w:t>展望2</w:t>
      </w:r>
      <w:r>
        <w:rPr>
          <w:rFonts w:eastAsia="仿宋_GB2312"/>
          <w:sz w:val="32"/>
          <w:szCs w:val="32"/>
        </w:rPr>
        <w:t>035</w:t>
      </w:r>
      <w:r>
        <w:rPr>
          <w:rFonts w:hint="eastAsia" w:eastAsia="仿宋_GB2312" w:cs="仿宋_GB2312"/>
          <w:sz w:val="32"/>
          <w:szCs w:val="32"/>
        </w:rPr>
        <w:t>年，生态环境优美，突出生态环境问题全面解决，碳排放达峰后稳中有降，蓝天白云、绿水青山成为常态，基本满足人民对优美生态环境的需要，绿色低碳的生产生活方式广泛形成，基本实现生态环境治理体系和治理能力现代化，青山常在、绿水长流、空气常新的美丽宁乡全面建成。</w:t>
      </w:r>
    </w:p>
    <w:p>
      <w:pPr>
        <w:spacing w:line="360" w:lineRule="auto"/>
        <w:ind w:firstLine="643" w:firstLineChars="200"/>
        <w:rPr>
          <w:rFonts w:eastAsia="仿宋_GB2312"/>
          <w:sz w:val="32"/>
          <w:szCs w:val="32"/>
          <w:lang w:val="zh-CN"/>
        </w:rPr>
      </w:pPr>
      <w:r>
        <w:rPr>
          <w:rFonts w:hint="eastAsia" w:eastAsia="仿宋_GB2312"/>
          <w:b/>
          <w:bCs/>
          <w:sz w:val="32"/>
          <w:szCs w:val="32"/>
          <w:lang w:val="zh-CN"/>
        </w:rPr>
        <w:t>“十四五”总体目标。</w:t>
      </w:r>
      <w:r>
        <w:rPr>
          <w:rFonts w:hint="eastAsia" w:eastAsia="仿宋_GB2312"/>
          <w:sz w:val="32"/>
          <w:szCs w:val="32"/>
          <w:lang w:val="zh-CN"/>
        </w:rPr>
        <w:t>锚定2035年远景目标，对标长沙市“十四五”生态环境保护规划目标，今后五年宁乡市生态环境保护工作，坚持以习近平生态文明思想为指导，坚定不移地走生态优先、绿色发展之路，</w:t>
      </w:r>
      <w:r>
        <w:rPr>
          <w:rFonts w:hint="eastAsia" w:eastAsia="仿宋_GB2312"/>
          <w:sz w:val="32"/>
          <w:szCs w:val="32"/>
        </w:rPr>
        <w:t>持续</w:t>
      </w:r>
      <w:r>
        <w:rPr>
          <w:rFonts w:hint="eastAsia" w:eastAsia="仿宋_GB2312"/>
          <w:sz w:val="32"/>
          <w:szCs w:val="32"/>
          <w:lang w:val="zh-CN"/>
        </w:rPr>
        <w:t>优化生态空间格局，全面改善生态环境质量</w:t>
      </w:r>
      <w:r>
        <w:rPr>
          <w:rFonts w:hint="eastAsia" w:eastAsia="仿宋_GB2312"/>
          <w:sz w:val="32"/>
          <w:szCs w:val="32"/>
        </w:rPr>
        <w:t>，大力推动绿色低碳发展，积极推进生态</w:t>
      </w:r>
      <w:r>
        <w:rPr>
          <w:rFonts w:hint="eastAsia" w:eastAsia="仿宋_GB2312"/>
          <w:sz w:val="32"/>
          <w:szCs w:val="32"/>
          <w:lang w:val="zh-CN"/>
        </w:rPr>
        <w:t>环境</w:t>
      </w:r>
      <w:r>
        <w:rPr>
          <w:rFonts w:hint="eastAsia" w:eastAsia="仿宋_GB2312"/>
          <w:sz w:val="32"/>
          <w:szCs w:val="32"/>
        </w:rPr>
        <w:t>保护和</w:t>
      </w:r>
      <w:r>
        <w:rPr>
          <w:rFonts w:hint="eastAsia" w:eastAsia="仿宋_GB2312"/>
          <w:sz w:val="32"/>
          <w:szCs w:val="32"/>
          <w:lang w:val="zh-CN"/>
        </w:rPr>
        <w:t>修复，加快推进生态环境治理体系和治理能力现代化，努力实现以下主要目标：</w:t>
      </w:r>
    </w:p>
    <w:p>
      <w:pPr>
        <w:spacing w:line="360" w:lineRule="auto"/>
        <w:ind w:firstLine="643" w:firstLineChars="200"/>
        <w:rPr>
          <w:rFonts w:eastAsia="仿宋_GB2312"/>
          <w:sz w:val="32"/>
          <w:szCs w:val="32"/>
          <w:lang w:val="zh-CN"/>
        </w:rPr>
      </w:pPr>
      <w:r>
        <w:rPr>
          <w:rFonts w:hint="eastAsia" w:eastAsia="仿宋_GB2312"/>
          <w:b/>
          <w:bCs/>
          <w:sz w:val="32"/>
          <w:szCs w:val="32"/>
        </w:rPr>
        <w:t>1.</w:t>
      </w:r>
      <w:r>
        <w:rPr>
          <w:rFonts w:hint="eastAsia" w:eastAsia="仿宋_GB2312"/>
          <w:b/>
          <w:bCs/>
          <w:sz w:val="32"/>
          <w:szCs w:val="32"/>
          <w:lang w:val="zh-CN"/>
        </w:rPr>
        <w:t>构建安全的生态空间格局。</w:t>
      </w:r>
      <w:r>
        <w:rPr>
          <w:rFonts w:hint="eastAsia" w:eastAsia="仿宋_GB2312"/>
          <w:sz w:val="32"/>
          <w:szCs w:val="32"/>
          <w:lang w:val="zh-CN"/>
        </w:rPr>
        <w:t>以生态保护红线为抓手，将环境质量底线和资源利用上线作为容量管控和环境准入条件，以空间、总量和准入为切入点落实“三线一单”，衔接国土空间规划，建立生态环境空间精细化管控的初步框架，统筹山水林田湖草沙系统治理，实施重要生态系统保护和修复重大工程。</w:t>
      </w:r>
    </w:p>
    <w:p>
      <w:pPr>
        <w:spacing w:line="360" w:lineRule="auto"/>
        <w:ind w:firstLine="643" w:firstLineChars="200"/>
        <w:rPr>
          <w:rFonts w:eastAsia="仿宋_GB2312"/>
          <w:sz w:val="32"/>
          <w:szCs w:val="32"/>
          <w:lang w:val="zh-CN"/>
        </w:rPr>
      </w:pPr>
      <w:r>
        <w:rPr>
          <w:rFonts w:hint="eastAsia" w:eastAsia="仿宋_GB2312"/>
          <w:b/>
          <w:bCs/>
          <w:sz w:val="32"/>
          <w:szCs w:val="32"/>
          <w:lang w:val="zh-CN"/>
        </w:rPr>
        <w:t>2</w:t>
      </w:r>
      <w:r>
        <w:rPr>
          <w:rFonts w:hint="eastAsia" w:eastAsia="仿宋_GB2312"/>
          <w:b/>
          <w:bCs/>
          <w:sz w:val="32"/>
          <w:szCs w:val="32"/>
        </w:rPr>
        <w:t>.</w:t>
      </w:r>
      <w:r>
        <w:rPr>
          <w:rFonts w:hint="eastAsia" w:eastAsia="仿宋_GB2312"/>
          <w:b/>
          <w:bCs/>
          <w:sz w:val="32"/>
          <w:szCs w:val="32"/>
          <w:lang w:val="zh-CN"/>
        </w:rPr>
        <w:t>建设优美的生态人居环境。</w:t>
      </w:r>
      <w:r>
        <w:rPr>
          <w:rFonts w:hint="eastAsia" w:eastAsia="仿宋_GB2312"/>
          <w:sz w:val="32"/>
          <w:szCs w:val="32"/>
          <w:lang w:val="zh-CN"/>
        </w:rPr>
        <w:t>通过大力防治水、大气、固体废物、土壤和噪声污染，持续推进城乡生态环境和流域环境综合整治，着力解决群众身边的环境问题，确保环境优良区域环境质量不退化、不降级，加快推进农村生态环境综合整治，打造天蓝、水碧、音静、土净的生态高地。</w:t>
      </w:r>
    </w:p>
    <w:p>
      <w:pPr>
        <w:spacing w:line="360" w:lineRule="auto"/>
        <w:ind w:firstLine="643" w:firstLineChars="200"/>
        <w:rPr>
          <w:rFonts w:eastAsia="仿宋_GB2312" w:cs="宋体"/>
          <w:sz w:val="32"/>
          <w:szCs w:val="32"/>
        </w:rPr>
      </w:pPr>
      <w:r>
        <w:rPr>
          <w:rFonts w:hint="eastAsia" w:eastAsia="仿宋_GB2312"/>
          <w:b/>
          <w:bCs/>
          <w:sz w:val="32"/>
          <w:szCs w:val="32"/>
          <w:lang w:val="zh-CN"/>
        </w:rPr>
        <w:t>3</w:t>
      </w:r>
      <w:r>
        <w:rPr>
          <w:rFonts w:hint="eastAsia" w:eastAsia="仿宋_GB2312"/>
          <w:b/>
          <w:bCs/>
          <w:sz w:val="32"/>
          <w:szCs w:val="32"/>
        </w:rPr>
        <w:t>.</w:t>
      </w:r>
      <w:r>
        <w:rPr>
          <w:rFonts w:hint="eastAsia" w:eastAsia="仿宋_GB2312"/>
          <w:b/>
          <w:bCs/>
          <w:sz w:val="32"/>
          <w:szCs w:val="32"/>
          <w:lang w:val="zh-CN"/>
        </w:rPr>
        <w:t>培育广泛的绿色低碳生产生活方式。</w:t>
      </w:r>
      <w:r>
        <w:rPr>
          <w:rFonts w:hint="eastAsia" w:eastAsia="仿宋_GB2312"/>
          <w:sz w:val="32"/>
          <w:szCs w:val="32"/>
          <w:lang w:val="zh-CN"/>
        </w:rPr>
        <w:t>持续优化产业结构，积极推进产业转型和产业生态化</w:t>
      </w:r>
      <w:r>
        <w:rPr>
          <w:rFonts w:hint="eastAsia" w:eastAsia="仿宋_GB2312"/>
          <w:sz w:val="32"/>
          <w:szCs w:val="32"/>
        </w:rPr>
        <w:t>，</w:t>
      </w:r>
      <w:r>
        <w:rPr>
          <w:rFonts w:hint="eastAsia" w:eastAsia="仿宋_GB2312"/>
          <w:sz w:val="32"/>
          <w:szCs w:val="32"/>
          <w:lang w:val="zh-CN"/>
        </w:rPr>
        <w:t>强化生态环保产业支撑，推进资源节约和循环经济；构建发展活力足、竞争能力强、特色鲜明的生态产业体系；积极倡导绿色生活，全民共同促进低碳发展，积极促成碳达峰。</w:t>
      </w:r>
    </w:p>
    <w:p>
      <w:pPr>
        <w:spacing w:line="360" w:lineRule="auto"/>
        <w:ind w:firstLine="643" w:firstLineChars="200"/>
        <w:rPr>
          <w:rFonts w:eastAsia="仿宋_GB2312"/>
          <w:sz w:val="32"/>
          <w:szCs w:val="32"/>
          <w:lang w:val="zh-CN"/>
        </w:rPr>
      </w:pPr>
      <w:r>
        <w:rPr>
          <w:rFonts w:hint="eastAsia" w:eastAsia="仿宋_GB2312"/>
          <w:b/>
          <w:bCs/>
          <w:sz w:val="32"/>
          <w:szCs w:val="32"/>
        </w:rPr>
        <w:t>4.</w:t>
      </w:r>
      <w:r>
        <w:rPr>
          <w:rFonts w:hint="eastAsia" w:eastAsia="仿宋_GB2312"/>
          <w:b/>
          <w:bCs/>
          <w:sz w:val="32"/>
          <w:szCs w:val="32"/>
          <w:lang w:val="zh-CN"/>
        </w:rPr>
        <w:t>构筑牢固的生态安全屏障。</w:t>
      </w:r>
      <w:r>
        <w:rPr>
          <w:rFonts w:hint="eastAsia" w:eastAsia="仿宋_GB2312"/>
          <w:sz w:val="32"/>
          <w:szCs w:val="32"/>
          <w:lang w:val="zh-CN"/>
        </w:rPr>
        <w:t>贯彻落实长江经济带“共抓大保护、不搞大开发”总要求，强化城市空间与自然环境交融与渗透，统筹推进山水林田湖生态保护和修复，推行森林河流湖泊休养生息，全面提升洪水调蓄、水源涵养、气候调节和生物多样性保护等生态功能，守住生态安全底线。</w:t>
      </w:r>
    </w:p>
    <w:p>
      <w:pPr>
        <w:spacing w:line="360" w:lineRule="auto"/>
        <w:ind w:firstLine="643" w:firstLineChars="200"/>
        <w:rPr>
          <w:rFonts w:eastAsia="仿宋_GB2312"/>
          <w:sz w:val="32"/>
          <w:szCs w:val="32"/>
          <w:lang w:val="zh-CN"/>
        </w:rPr>
      </w:pPr>
      <w:r>
        <w:rPr>
          <w:rFonts w:hint="eastAsia" w:eastAsia="仿宋_GB2312"/>
          <w:b/>
          <w:bCs/>
          <w:sz w:val="32"/>
          <w:szCs w:val="32"/>
        </w:rPr>
        <w:t>5.</w:t>
      </w:r>
      <w:r>
        <w:rPr>
          <w:rFonts w:hint="eastAsia" w:eastAsia="仿宋_GB2312"/>
          <w:b/>
          <w:bCs/>
          <w:sz w:val="32"/>
          <w:szCs w:val="32"/>
          <w:lang w:val="zh-CN"/>
        </w:rPr>
        <w:t>实现更高的治理</w:t>
      </w:r>
      <w:r>
        <w:rPr>
          <w:rFonts w:hint="eastAsia" w:eastAsia="仿宋_GB2312"/>
          <w:b/>
          <w:bCs/>
          <w:sz w:val="32"/>
          <w:szCs w:val="32"/>
          <w:lang w:val="en-US" w:eastAsia="zh-CN"/>
        </w:rPr>
        <w:t>体系</w:t>
      </w:r>
      <w:r>
        <w:rPr>
          <w:rFonts w:hint="eastAsia" w:eastAsia="仿宋_GB2312"/>
          <w:b/>
          <w:bCs/>
          <w:sz w:val="32"/>
          <w:szCs w:val="32"/>
          <w:lang w:val="zh-CN"/>
        </w:rPr>
        <w:t>和治理</w:t>
      </w:r>
      <w:r>
        <w:rPr>
          <w:rFonts w:hint="eastAsia" w:eastAsia="仿宋_GB2312"/>
          <w:b/>
          <w:bCs/>
          <w:sz w:val="32"/>
          <w:szCs w:val="32"/>
          <w:lang w:val="en-US" w:eastAsia="zh-CN"/>
        </w:rPr>
        <w:t>能力</w:t>
      </w:r>
      <w:r>
        <w:rPr>
          <w:rFonts w:hint="eastAsia" w:eastAsia="仿宋_GB2312"/>
          <w:b/>
          <w:bCs/>
          <w:sz w:val="32"/>
          <w:szCs w:val="32"/>
          <w:lang w:val="zh-CN"/>
        </w:rPr>
        <w:t>现代化水平。</w:t>
      </w:r>
      <w:r>
        <w:rPr>
          <w:rFonts w:hint="eastAsia" w:eastAsia="仿宋_GB2312"/>
          <w:sz w:val="32"/>
          <w:szCs w:val="32"/>
          <w:lang w:val="zh-CN"/>
        </w:rPr>
        <w:t>加强生态环境保护的领导责任体系、企业责任体系、全民行动体系、环境监管体系、环境治理市场体系、环境信用体系和法律法规政策体系等七个方面的体系，健全生态保护和修复制度，严明生态环境保护责任制度，着力构建政府为主导、企业为主体、社会组织和公众共同参与的生态环境治理体系。</w:t>
      </w:r>
    </w:p>
    <w:p>
      <w:pPr>
        <w:spacing w:line="360" w:lineRule="auto"/>
        <w:ind w:firstLine="640" w:firstLineChars="200"/>
        <w:rPr>
          <w:rFonts w:eastAsia="仿宋_GB2312"/>
          <w:sz w:val="32"/>
          <w:szCs w:val="32"/>
          <w:lang w:val="zh-CN"/>
        </w:rPr>
      </w:pPr>
      <w:r>
        <w:rPr>
          <w:rFonts w:hint="eastAsia" w:eastAsia="仿宋_GB2312"/>
          <w:sz w:val="32"/>
          <w:szCs w:val="32"/>
          <w:lang w:val="zh-CN"/>
        </w:rPr>
        <w:t>综合考虑宁乡市地域特点，将宁乡市的生态环境保护指标体系分为绿色低碳、环境质量、生态功能、风险防控、污染防治五个大类，总共2</w:t>
      </w:r>
      <w:r>
        <w:rPr>
          <w:rFonts w:eastAsia="仿宋_GB2312"/>
          <w:sz w:val="32"/>
          <w:szCs w:val="32"/>
          <w:lang w:val="zh-CN"/>
        </w:rPr>
        <w:t>8</w:t>
      </w:r>
      <w:r>
        <w:rPr>
          <w:rFonts w:hint="eastAsia" w:eastAsia="仿宋_GB2312"/>
          <w:sz w:val="32"/>
          <w:szCs w:val="32"/>
          <w:lang w:val="zh-CN"/>
        </w:rPr>
        <w:t>项指标，其中12项约束性指标，1</w:t>
      </w:r>
      <w:r>
        <w:rPr>
          <w:rFonts w:eastAsia="仿宋_GB2312"/>
          <w:sz w:val="32"/>
          <w:szCs w:val="32"/>
          <w:lang w:val="zh-CN"/>
        </w:rPr>
        <w:t>6</w:t>
      </w:r>
      <w:r>
        <w:rPr>
          <w:rFonts w:hint="eastAsia" w:eastAsia="仿宋_GB2312"/>
          <w:sz w:val="32"/>
          <w:szCs w:val="32"/>
          <w:lang w:val="zh-CN"/>
        </w:rPr>
        <w:t>项预期性指标，具体见表2。</w:t>
      </w:r>
    </w:p>
    <w:p>
      <w:pPr>
        <w:widowControl/>
        <w:spacing w:before="156" w:beforeLines="50" w:after="156" w:afterLines="50" w:line="600" w:lineRule="exact"/>
        <w:jc w:val="center"/>
        <w:rPr>
          <w:rFonts w:eastAsia="黑体"/>
          <w:b/>
          <w:bCs/>
          <w:kern w:val="44"/>
          <w:sz w:val="32"/>
          <w:szCs w:val="32"/>
        </w:rPr>
        <w:sectPr>
          <w:footerReference r:id="rId7" w:type="default"/>
          <w:pgSz w:w="11906" w:h="16838"/>
          <w:pgMar w:top="1440" w:right="1800" w:bottom="1440" w:left="1800" w:header="851" w:footer="992" w:gutter="0"/>
          <w:cols w:space="720" w:num="1"/>
          <w:docGrid w:type="lines" w:linePitch="312" w:charSpace="0"/>
        </w:sectPr>
      </w:pPr>
    </w:p>
    <w:p>
      <w:pPr>
        <w:widowControl/>
        <w:spacing w:before="156" w:beforeLines="50" w:after="156" w:afterLines="50" w:line="600" w:lineRule="exact"/>
        <w:jc w:val="center"/>
        <w:rPr>
          <w:rFonts w:eastAsia="黑体"/>
          <w:b/>
          <w:bCs/>
          <w:kern w:val="44"/>
          <w:sz w:val="32"/>
          <w:szCs w:val="32"/>
        </w:rPr>
      </w:pPr>
      <w:r>
        <w:rPr>
          <w:rFonts w:hint="eastAsia" w:eastAsia="黑体"/>
          <w:b/>
          <w:bCs/>
          <w:kern w:val="44"/>
          <w:sz w:val="32"/>
          <w:szCs w:val="32"/>
        </w:rPr>
        <w:t>表</w:t>
      </w:r>
      <w:r>
        <w:rPr>
          <w:rFonts w:eastAsia="黑体"/>
          <w:b/>
          <w:bCs/>
          <w:kern w:val="44"/>
          <w:sz w:val="32"/>
          <w:szCs w:val="32"/>
        </w:rPr>
        <w:t xml:space="preserve">2 </w:t>
      </w:r>
      <w:r>
        <w:rPr>
          <w:rFonts w:hint="eastAsia" w:eastAsia="黑体"/>
          <w:b/>
          <w:bCs/>
          <w:kern w:val="44"/>
          <w:sz w:val="32"/>
          <w:szCs w:val="32"/>
        </w:rPr>
        <w:t>宁乡市“十四五”生态建设和环境保护指标体系</w:t>
      </w:r>
    </w:p>
    <w:tbl>
      <w:tblPr>
        <w:tblStyle w:val="31"/>
        <w:tblW w:w="14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709"/>
        <w:gridCol w:w="1701"/>
        <w:gridCol w:w="2930"/>
        <w:gridCol w:w="1523"/>
        <w:gridCol w:w="1276"/>
        <w:gridCol w:w="1950"/>
        <w:gridCol w:w="2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指标分类</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序号</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指标名称</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指标属性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等线"/>
                <w:b/>
                <w:kern w:val="0"/>
                <w:sz w:val="24"/>
                <w:szCs w:val="24"/>
              </w:rPr>
            </w:pPr>
            <w:r>
              <w:rPr>
                <w:rFonts w:eastAsia="等线"/>
                <w:b/>
                <w:kern w:val="0"/>
                <w:sz w:val="24"/>
                <w:szCs w:val="24"/>
              </w:rPr>
              <w:t>2020</w:t>
            </w:r>
            <w:r>
              <w:rPr>
                <w:rFonts w:hint="eastAsia" w:eastAsia="仿宋"/>
                <w:b/>
                <w:kern w:val="0"/>
                <w:sz w:val="24"/>
                <w:szCs w:val="24"/>
              </w:rPr>
              <w:t>年现状值</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等线"/>
                <w:b/>
                <w:kern w:val="0"/>
                <w:sz w:val="24"/>
                <w:szCs w:val="24"/>
              </w:rPr>
            </w:pPr>
            <w:r>
              <w:rPr>
                <w:rFonts w:eastAsia="等线"/>
                <w:b/>
                <w:kern w:val="0"/>
                <w:sz w:val="24"/>
                <w:szCs w:val="24"/>
              </w:rPr>
              <w:t>2025</w:t>
            </w:r>
            <w:r>
              <w:rPr>
                <w:rFonts w:hint="eastAsia" w:eastAsia="仿宋"/>
                <w:b/>
                <w:kern w:val="0"/>
                <w:sz w:val="24"/>
                <w:szCs w:val="24"/>
              </w:rPr>
              <w:t>年目标值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24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绿色低碳</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1</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单位地区生产总值能源消耗降幅</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达到考核要求</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2</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单位地区生产总值用水量</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立方米</w:t>
            </w:r>
            <w:r>
              <w:rPr>
                <w:rFonts w:eastAsia="仿宋"/>
                <w:bCs/>
                <w:kern w:val="0"/>
                <w:sz w:val="24"/>
                <w:szCs w:val="24"/>
              </w:rPr>
              <w:t>/</w:t>
            </w:r>
            <w:r>
              <w:rPr>
                <w:rFonts w:hint="eastAsia" w:eastAsia="仿宋"/>
                <w:bCs/>
                <w:kern w:val="0"/>
                <w:sz w:val="24"/>
                <w:szCs w:val="24"/>
              </w:rPr>
              <w:t>万元</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57.31</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5</w:t>
            </w:r>
            <w:r>
              <w:rPr>
                <w:rFonts w:eastAsia="仿宋"/>
                <w:bCs/>
                <w:kern w:val="0"/>
                <w:sz w:val="24"/>
                <w:szCs w:val="24"/>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3</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单位地区生产总值二氧化碳排放降幅</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达到考核要求</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4</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kern w:val="0"/>
                <w:sz w:val="24"/>
                <w:szCs w:val="24"/>
              </w:rPr>
              <w:t>非化石能源占一次能源消费比重</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kern w:val="0"/>
                <w:sz w:val="24"/>
                <w:szCs w:val="24"/>
              </w:rPr>
              <w:t>-</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环境质量</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5</w:t>
            </w:r>
          </w:p>
        </w:tc>
        <w:tc>
          <w:tcPr>
            <w:tcW w:w="17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地表水*</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地表水质量达到或优于</w:t>
            </w:r>
            <w:r>
              <w:rPr>
                <w:rFonts w:eastAsia="仿宋"/>
                <w:b/>
                <w:kern w:val="0"/>
                <w:sz w:val="24"/>
                <w:szCs w:val="24"/>
              </w:rPr>
              <w:t>Ⅲ</w:t>
            </w:r>
            <w:r>
              <w:rPr>
                <w:rFonts w:hint="eastAsia" w:eastAsia="仿宋"/>
                <w:b/>
                <w:kern w:val="0"/>
                <w:sz w:val="24"/>
                <w:szCs w:val="24"/>
              </w:rPr>
              <w:t>类比例</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100</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6</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
                <w:kern w:val="0"/>
                <w:sz w:val="24"/>
                <w:szCs w:val="24"/>
              </w:rPr>
            </w:pP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地表水质量劣</w:t>
            </w:r>
            <w:r>
              <w:rPr>
                <w:rFonts w:eastAsia="仿宋"/>
                <w:b/>
                <w:kern w:val="0"/>
                <w:sz w:val="24"/>
                <w:szCs w:val="24"/>
              </w:rPr>
              <w:t>Ⅴ</w:t>
            </w:r>
            <w:r>
              <w:rPr>
                <w:rFonts w:hint="eastAsia" w:eastAsia="仿宋"/>
                <w:b/>
                <w:kern w:val="0"/>
                <w:sz w:val="24"/>
                <w:szCs w:val="24"/>
              </w:rPr>
              <w:t>类比例</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0</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7</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地下水*</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地下水质量</w:t>
            </w:r>
            <w:r>
              <w:rPr>
                <w:rFonts w:eastAsia="仿宋"/>
                <w:bCs/>
                <w:kern w:val="0"/>
                <w:sz w:val="24"/>
                <w:szCs w:val="24"/>
              </w:rPr>
              <w:t>V</w:t>
            </w:r>
            <w:r>
              <w:rPr>
                <w:rFonts w:hint="eastAsia" w:eastAsia="仿宋"/>
                <w:bCs/>
                <w:kern w:val="0"/>
                <w:sz w:val="24"/>
                <w:szCs w:val="24"/>
              </w:rPr>
              <w:t>类水比例</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0</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8</w:t>
            </w:r>
          </w:p>
        </w:tc>
        <w:tc>
          <w:tcPr>
            <w:tcW w:w="17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eastAsia="仿宋"/>
                <w:b/>
                <w:kern w:val="0"/>
                <w:sz w:val="24"/>
                <w:szCs w:val="24"/>
              </w:rPr>
            </w:pPr>
            <w:r>
              <w:rPr>
                <w:rFonts w:hint="eastAsia" w:eastAsia="仿宋"/>
                <w:b/>
                <w:kern w:val="0"/>
                <w:sz w:val="24"/>
                <w:szCs w:val="24"/>
              </w:rPr>
              <w:t>集中式饮用水源*</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县级集中式饮用水水源地水质达标率</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100</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9</w:t>
            </w:r>
          </w:p>
        </w:tc>
        <w:tc>
          <w:tcPr>
            <w:tcW w:w="1701"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eastAsia="仿宋"/>
                <w:b/>
                <w:kern w:val="0"/>
                <w:sz w:val="24"/>
                <w:szCs w:val="24"/>
              </w:rPr>
            </w:pPr>
            <w:r>
              <w:rPr>
                <w:rFonts w:hint="eastAsia" w:eastAsia="仿宋"/>
                <w:b/>
                <w:kern w:val="0"/>
                <w:sz w:val="24"/>
                <w:szCs w:val="24"/>
              </w:rPr>
              <w:t>大气环境*</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空气质量优良天数比率</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90</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≥9</w:t>
            </w:r>
            <w:r>
              <w:rPr>
                <w:rFonts w:eastAsia="仿宋"/>
                <w:b/>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10</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
                <w:kern w:val="0"/>
                <w:sz w:val="24"/>
                <w:szCs w:val="24"/>
              </w:rPr>
            </w:pP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重污染天数</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天</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0</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基本消除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11</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
                <w:kern w:val="0"/>
                <w:sz w:val="24"/>
                <w:szCs w:val="24"/>
              </w:rPr>
            </w:pP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城市细颗粒物（</w:t>
            </w:r>
            <w:r>
              <w:rPr>
                <w:rFonts w:eastAsia="仿宋"/>
                <w:b/>
                <w:kern w:val="0"/>
                <w:sz w:val="24"/>
                <w:szCs w:val="24"/>
              </w:rPr>
              <w:t>PM</w:t>
            </w:r>
            <w:r>
              <w:rPr>
                <w:rFonts w:eastAsia="仿宋"/>
                <w:b/>
                <w:kern w:val="0"/>
                <w:sz w:val="24"/>
                <w:szCs w:val="24"/>
                <w:vertAlign w:val="subscript"/>
              </w:rPr>
              <w:t>2.5</w:t>
            </w:r>
            <w:r>
              <w:rPr>
                <w:rFonts w:hint="eastAsia" w:eastAsia="仿宋"/>
                <w:b/>
                <w:kern w:val="0"/>
                <w:sz w:val="24"/>
                <w:szCs w:val="24"/>
              </w:rPr>
              <w:t>）年平均浓度</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μg/m</w:t>
            </w:r>
            <w:r>
              <w:rPr>
                <w:rFonts w:eastAsia="仿宋"/>
                <w:b/>
                <w:kern w:val="0"/>
                <w:sz w:val="24"/>
                <w:szCs w:val="24"/>
                <w:vertAlign w:val="superscript"/>
              </w:rPr>
              <w:t>3</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31</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生态功能</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12</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生态保护红线占国土面积比例</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3</w:t>
            </w:r>
            <w:r>
              <w:rPr>
                <w:rFonts w:eastAsia="仿宋"/>
                <w:bCs/>
                <w:kern w:val="0"/>
                <w:sz w:val="24"/>
                <w:szCs w:val="24"/>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13</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森林覆盖率</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48.79</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48.79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14</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kern w:val="0"/>
                <w:sz w:val="24"/>
                <w:szCs w:val="24"/>
              </w:rPr>
              <w:t>湿地保护率</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kern w:val="0"/>
                <w:sz w:val="24"/>
                <w:szCs w:val="24"/>
              </w:rPr>
              <w:t>76.02</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hint="eastAsia" w:eastAsia="仿宋"/>
                <w:bCs/>
                <w:kern w:val="0"/>
                <w:sz w:val="24"/>
                <w:szCs w:val="24"/>
              </w:rPr>
              <w:t>8</w:t>
            </w:r>
            <w:r>
              <w:rPr>
                <w:rFonts w:eastAsia="仿宋"/>
                <w:bCs/>
                <w:kern w:val="0"/>
                <w:sz w:val="24"/>
                <w:szCs w:val="24"/>
              </w:rPr>
              <w:t>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15</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生态质量指数（新</w:t>
            </w:r>
            <w:r>
              <w:rPr>
                <w:rFonts w:eastAsia="仿宋"/>
                <w:bCs/>
                <w:kern w:val="0"/>
                <w:sz w:val="24"/>
                <w:szCs w:val="24"/>
              </w:rPr>
              <w:t>EI</w:t>
            </w:r>
            <w:r>
              <w:rPr>
                <w:rFonts w:hint="eastAsia" w:eastAsia="仿宋"/>
                <w:bCs/>
                <w:kern w:val="0"/>
                <w:sz w:val="24"/>
                <w:szCs w:val="24"/>
              </w:rPr>
              <w:t>）</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稳中向好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风险防控</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16</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受污染耕地安全利用率</w:t>
            </w:r>
          </w:p>
        </w:tc>
        <w:tc>
          <w:tcPr>
            <w:tcW w:w="1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w:t>
            </w:r>
          </w:p>
        </w:tc>
        <w:tc>
          <w:tcPr>
            <w:tcW w:w="270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17</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重点建设用地土壤污染风险管控率</w:t>
            </w:r>
          </w:p>
        </w:tc>
        <w:tc>
          <w:tcPr>
            <w:tcW w:w="1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w:t>
            </w:r>
          </w:p>
        </w:tc>
        <w:tc>
          <w:tcPr>
            <w:tcW w:w="2708" w:type="dxa"/>
            <w:tcBorders>
              <w:top w:val="single" w:color="auto" w:sz="4" w:space="0"/>
              <w:left w:val="single" w:color="auto" w:sz="4" w:space="0"/>
              <w:bottom w:val="single" w:color="auto" w:sz="4" w:space="0"/>
              <w:right w:val="single" w:color="auto" w:sz="4" w:space="0"/>
            </w:tcBorders>
          </w:tcPr>
          <w:p>
            <w:pPr>
              <w:adjustRightInd w:val="0"/>
              <w:snapToGrid w:val="0"/>
              <w:spacing w:line="300" w:lineRule="exact"/>
              <w:jc w:val="center"/>
              <w:rPr>
                <w:rFonts w:eastAsia="仿宋"/>
                <w:bCs/>
                <w:kern w:val="0"/>
                <w:sz w:val="24"/>
                <w:szCs w:val="24"/>
              </w:rPr>
            </w:pPr>
            <w:r>
              <w:rPr>
                <w:rFonts w:hint="eastAsia" w:eastAsia="仿宋"/>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18</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工业危险废物处置率</w:t>
            </w:r>
          </w:p>
        </w:tc>
        <w:tc>
          <w:tcPr>
            <w:tcW w:w="1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100</w:t>
            </w:r>
          </w:p>
        </w:tc>
        <w:tc>
          <w:tcPr>
            <w:tcW w:w="2708" w:type="dxa"/>
            <w:tcBorders>
              <w:top w:val="single" w:color="auto" w:sz="4" w:space="0"/>
              <w:left w:val="single" w:color="auto" w:sz="4" w:space="0"/>
              <w:bottom w:val="single" w:color="auto" w:sz="4" w:space="0"/>
              <w:right w:val="single" w:color="auto" w:sz="4" w:space="0"/>
            </w:tcBorders>
          </w:tcPr>
          <w:p>
            <w:pPr>
              <w:adjustRightInd w:val="0"/>
              <w:snapToGrid w:val="0"/>
              <w:spacing w:line="300" w:lineRule="exact"/>
              <w:jc w:val="center"/>
              <w:rPr>
                <w:rFonts w:eastAsia="仿宋"/>
                <w:bCs/>
                <w:kern w:val="0"/>
                <w:sz w:val="24"/>
                <w:szCs w:val="24"/>
              </w:rPr>
            </w:pPr>
            <w:r>
              <w:rPr>
                <w:rFonts w:hint="eastAsia" w:eastAsia="仿宋"/>
                <w:kern w:val="0"/>
                <w:sz w:val="24"/>
                <w:szCs w:val="24"/>
              </w:rPr>
              <w:t>1</w:t>
            </w:r>
            <w:r>
              <w:rPr>
                <w:rFonts w:eastAsia="仿宋"/>
                <w:kern w:val="0"/>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19</w:t>
            </w:r>
          </w:p>
        </w:tc>
        <w:tc>
          <w:tcPr>
            <w:tcW w:w="46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
                <w:kern w:val="0"/>
                <w:sz w:val="24"/>
                <w:szCs w:val="24"/>
              </w:rPr>
            </w:pPr>
            <w:r>
              <w:rPr>
                <w:rFonts w:hint="eastAsia" w:eastAsia="仿宋"/>
                <w:kern w:val="0"/>
                <w:sz w:val="24"/>
                <w:szCs w:val="24"/>
              </w:rPr>
              <w:t>医疗废物无害化处置率</w:t>
            </w:r>
          </w:p>
        </w:tc>
        <w:tc>
          <w:tcPr>
            <w:tcW w:w="1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Cs/>
                <w:kern w:val="0"/>
                <w:sz w:val="24"/>
                <w:szCs w:val="24"/>
              </w:rPr>
              <w:t>100</w:t>
            </w:r>
          </w:p>
        </w:tc>
        <w:tc>
          <w:tcPr>
            <w:tcW w:w="270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
                <w:kern w:val="0"/>
                <w:sz w:val="24"/>
                <w:szCs w:val="24"/>
              </w:rPr>
            </w:pPr>
            <w:r>
              <w:rPr>
                <w:rFonts w:eastAsia="仿宋"/>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bCs/>
                <w:kern w:val="0"/>
                <w:sz w:val="24"/>
                <w:szCs w:val="24"/>
              </w:rPr>
            </w:pPr>
            <w:r>
              <w:rPr>
                <w:rFonts w:hint="eastAsia" w:eastAsia="仿宋"/>
                <w:bCs/>
                <w:kern w:val="0"/>
                <w:sz w:val="24"/>
                <w:szCs w:val="24"/>
              </w:rPr>
              <w:t>污染防治</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20</w:t>
            </w:r>
          </w:p>
        </w:tc>
        <w:tc>
          <w:tcPr>
            <w:tcW w:w="1701"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eastAsia="仿宋"/>
                <w:b/>
                <w:bCs/>
                <w:kern w:val="0"/>
                <w:sz w:val="24"/>
                <w:szCs w:val="24"/>
              </w:rPr>
            </w:pPr>
            <w:r>
              <w:rPr>
                <w:rFonts w:hint="eastAsia" w:eastAsia="仿宋"/>
                <w:b/>
                <w:bCs/>
                <w:kern w:val="0"/>
                <w:sz w:val="24"/>
                <w:szCs w:val="24"/>
              </w:rPr>
              <w:t>污染排放</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化学需氧量减排</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达到考核要求</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21</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
                <w:bCs/>
                <w:kern w:val="0"/>
                <w:sz w:val="24"/>
                <w:szCs w:val="24"/>
              </w:rPr>
            </w:pP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氨氮减排</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达到考核要求</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22</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
                <w:bCs/>
                <w:kern w:val="0"/>
                <w:sz w:val="24"/>
                <w:szCs w:val="24"/>
              </w:rPr>
            </w:pP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氮氧化物减排</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达到考核要求</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kern w:val="0"/>
                <w:sz w:val="24"/>
                <w:szCs w:val="24"/>
              </w:rPr>
            </w:pPr>
            <w:r>
              <w:rPr>
                <w:rFonts w:eastAsia="仿宋"/>
                <w:b/>
                <w:kern w:val="0"/>
                <w:sz w:val="24"/>
                <w:szCs w:val="24"/>
              </w:rPr>
              <w:t>23</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
                <w:bCs/>
                <w:kern w:val="0"/>
                <w:sz w:val="24"/>
                <w:szCs w:val="24"/>
              </w:rPr>
            </w:pP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挥发性有机物减排</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eastAsia="仿宋"/>
                <w:b/>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约束性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达到考核要求</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
                <w:bCs/>
                <w:kern w:val="0"/>
                <w:sz w:val="24"/>
                <w:szCs w:val="24"/>
              </w:rPr>
            </w:pPr>
            <w:r>
              <w:rPr>
                <w:rFonts w:hint="eastAsia" w:eastAsia="仿宋"/>
                <w:b/>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24</w:t>
            </w:r>
          </w:p>
        </w:tc>
        <w:tc>
          <w:tcPr>
            <w:tcW w:w="1701"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eastAsia="仿宋"/>
                <w:bCs/>
                <w:kern w:val="0"/>
                <w:sz w:val="24"/>
                <w:szCs w:val="24"/>
              </w:rPr>
            </w:pPr>
            <w:r>
              <w:rPr>
                <w:rFonts w:hint="eastAsia" w:eastAsia="仿宋"/>
                <w:bCs/>
                <w:kern w:val="0"/>
                <w:sz w:val="24"/>
                <w:szCs w:val="24"/>
              </w:rPr>
              <w:t>生活污水</w:t>
            </w:r>
          </w:p>
        </w:tc>
        <w:tc>
          <w:tcPr>
            <w:tcW w:w="29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城市生活污水集中收集率</w:t>
            </w:r>
          </w:p>
        </w:tc>
        <w:tc>
          <w:tcPr>
            <w:tcW w:w="1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97.1</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持续提升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25</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29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乡镇污水处理设施覆盖率</w:t>
            </w:r>
          </w:p>
        </w:tc>
        <w:tc>
          <w:tcPr>
            <w:tcW w:w="1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100</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26</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29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农村生活污水处理率</w:t>
            </w:r>
          </w:p>
        </w:tc>
        <w:tc>
          <w:tcPr>
            <w:tcW w:w="15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eastAsia="仿宋"/>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持续提升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27</w:t>
            </w:r>
          </w:p>
        </w:tc>
        <w:tc>
          <w:tcPr>
            <w:tcW w:w="17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eastAsia="仿宋"/>
                <w:bCs/>
                <w:kern w:val="0"/>
                <w:sz w:val="24"/>
                <w:szCs w:val="24"/>
              </w:rPr>
            </w:pPr>
            <w:r>
              <w:rPr>
                <w:rFonts w:hint="eastAsia" w:eastAsia="仿宋"/>
                <w:bCs/>
                <w:kern w:val="0"/>
                <w:sz w:val="24"/>
                <w:szCs w:val="24"/>
              </w:rPr>
              <w:t>生活垃圾</w:t>
            </w:r>
          </w:p>
        </w:tc>
        <w:tc>
          <w:tcPr>
            <w:tcW w:w="293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kern w:val="0"/>
                <w:sz w:val="24"/>
                <w:szCs w:val="24"/>
              </w:rPr>
              <w:t>城市生活垃圾资源化利用率</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预期性</w:t>
            </w:r>
          </w:p>
        </w:tc>
        <w:tc>
          <w:tcPr>
            <w:tcW w:w="195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w:t>
            </w:r>
          </w:p>
        </w:tc>
        <w:tc>
          <w:tcPr>
            <w:tcW w:w="270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
                <w:kern w:val="0"/>
                <w:sz w:val="24"/>
                <w:szCs w:val="24"/>
              </w:rPr>
              <w:t>完成上级下达指标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
                <w:bCs/>
                <w:kern w:val="0"/>
                <w:sz w:val="24"/>
                <w:szCs w:val="24"/>
              </w:rPr>
            </w:pPr>
          </w:p>
        </w:tc>
        <w:tc>
          <w:tcPr>
            <w:tcW w:w="709" w:type="dxa"/>
            <w:tcBorders>
              <w:top w:val="single" w:color="auto" w:sz="4" w:space="0"/>
              <w:left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28</w:t>
            </w:r>
          </w:p>
        </w:tc>
        <w:tc>
          <w:tcPr>
            <w:tcW w:w="17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eastAsia="仿宋"/>
                <w:bCs/>
                <w:kern w:val="0"/>
                <w:sz w:val="24"/>
                <w:szCs w:val="24"/>
              </w:rPr>
            </w:pPr>
            <w:r>
              <w:rPr>
                <w:rFonts w:hint="eastAsia" w:eastAsia="仿宋"/>
                <w:bCs/>
                <w:kern w:val="0"/>
                <w:sz w:val="24"/>
                <w:szCs w:val="24"/>
              </w:rPr>
              <w:t>黑臭水体消除比例</w:t>
            </w:r>
          </w:p>
        </w:tc>
        <w:tc>
          <w:tcPr>
            <w:tcW w:w="2930" w:type="dxa"/>
            <w:tcBorders>
              <w:top w:val="single" w:color="auto" w:sz="4" w:space="0"/>
              <w:left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kern w:val="0"/>
                <w:sz w:val="24"/>
                <w:szCs w:val="24"/>
              </w:rPr>
              <w:t>主城区</w:t>
            </w:r>
          </w:p>
        </w:tc>
        <w:tc>
          <w:tcPr>
            <w:tcW w:w="1523" w:type="dxa"/>
            <w:tcBorders>
              <w:top w:val="single" w:color="auto" w:sz="4" w:space="0"/>
              <w:left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eastAsia="仿宋"/>
                <w:kern w:val="0"/>
                <w:sz w:val="24"/>
                <w:szCs w:val="24"/>
              </w:rPr>
              <w:t>%</w:t>
            </w:r>
          </w:p>
        </w:tc>
        <w:tc>
          <w:tcPr>
            <w:tcW w:w="1276" w:type="dxa"/>
            <w:tcBorders>
              <w:top w:val="single" w:color="auto" w:sz="4" w:space="0"/>
              <w:left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hint="eastAsia" w:eastAsia="仿宋"/>
                <w:bCs/>
                <w:kern w:val="0"/>
                <w:sz w:val="24"/>
                <w:szCs w:val="24"/>
              </w:rPr>
              <w:t>预期性</w:t>
            </w:r>
          </w:p>
        </w:tc>
        <w:tc>
          <w:tcPr>
            <w:tcW w:w="1950" w:type="dxa"/>
            <w:tcBorders>
              <w:top w:val="single" w:color="auto" w:sz="4" w:space="0"/>
              <w:left w:val="single" w:color="auto" w:sz="4" w:space="0"/>
              <w:right w:val="single" w:color="auto" w:sz="4" w:space="0"/>
            </w:tcBorders>
            <w:vAlign w:val="center"/>
          </w:tcPr>
          <w:p>
            <w:pPr>
              <w:widowControl/>
              <w:spacing w:line="400" w:lineRule="exact"/>
              <w:jc w:val="center"/>
              <w:rPr>
                <w:rFonts w:eastAsia="仿宋"/>
                <w:bCs/>
                <w:kern w:val="0"/>
                <w:sz w:val="24"/>
                <w:szCs w:val="24"/>
              </w:rPr>
            </w:pPr>
            <w:r>
              <w:rPr>
                <w:rFonts w:eastAsia="仿宋"/>
                <w:bCs/>
                <w:kern w:val="0"/>
                <w:sz w:val="24"/>
                <w:szCs w:val="24"/>
              </w:rPr>
              <w:t>100</w:t>
            </w:r>
          </w:p>
        </w:tc>
        <w:tc>
          <w:tcPr>
            <w:tcW w:w="2708" w:type="dxa"/>
            <w:tcBorders>
              <w:top w:val="single" w:color="auto" w:sz="4" w:space="0"/>
              <w:left w:val="single" w:color="auto" w:sz="4" w:space="0"/>
              <w:right w:val="single" w:color="auto" w:sz="4" w:space="0"/>
            </w:tcBorders>
            <w:vAlign w:val="center"/>
          </w:tcPr>
          <w:p>
            <w:pPr>
              <w:adjustRightInd w:val="0"/>
              <w:snapToGrid w:val="0"/>
              <w:spacing w:line="300" w:lineRule="exact"/>
              <w:jc w:val="center"/>
              <w:rPr>
                <w:rFonts w:eastAsia="仿宋"/>
                <w:bCs/>
                <w:kern w:val="0"/>
                <w:sz w:val="24"/>
                <w:szCs w:val="24"/>
              </w:rPr>
            </w:pPr>
            <w:r>
              <w:rPr>
                <w:rFonts w:hint="eastAsia" w:eastAsia="仿宋"/>
                <w:bCs/>
                <w:kern w:val="0"/>
                <w:sz w:val="24"/>
                <w:szCs w:val="24"/>
              </w:rPr>
              <w:t>不新增</w:t>
            </w:r>
          </w:p>
        </w:tc>
      </w:tr>
    </w:tbl>
    <w:p>
      <w:pPr>
        <w:pStyle w:val="2"/>
      </w:pPr>
      <w:r>
        <w:rPr>
          <w:rFonts w:hint="eastAsia"/>
        </w:rPr>
        <w:t>*市级以上监测点位</w:t>
      </w:r>
    </w:p>
    <w:p>
      <w:pPr>
        <w:rPr>
          <w:lang w:val="zh-CN"/>
        </w:rPr>
        <w:sectPr>
          <w:pgSz w:w="16838" w:h="11906" w:orient="landscape"/>
          <w:pgMar w:top="1800" w:right="1440" w:bottom="1800" w:left="1440" w:header="851" w:footer="992" w:gutter="0"/>
          <w:cols w:space="720" w:num="1"/>
          <w:docGrid w:type="lines" w:linePitch="312" w:charSpace="0"/>
        </w:sectPr>
      </w:pPr>
    </w:p>
    <w:p>
      <w:pPr>
        <w:keepNext/>
        <w:keepLines/>
        <w:spacing w:before="312" w:beforeLines="100" w:after="312" w:afterLines="100" w:line="600" w:lineRule="exact"/>
        <w:ind w:firstLine="630" w:firstLineChars="196"/>
        <w:outlineLvl w:val="0"/>
        <w:rPr>
          <w:rFonts w:eastAsia="黑体"/>
          <w:b/>
          <w:bCs/>
          <w:kern w:val="44"/>
          <w:sz w:val="32"/>
          <w:szCs w:val="44"/>
        </w:rPr>
      </w:pPr>
      <w:bookmarkStart w:id="37" w:name="_Toc75857504"/>
      <w:bookmarkStart w:id="38" w:name="_Toc19898"/>
      <w:bookmarkStart w:id="39" w:name="_Toc87116138"/>
      <w:bookmarkStart w:id="40" w:name="_Toc75857509"/>
      <w:bookmarkStart w:id="41" w:name="_Toc2537"/>
      <w:bookmarkStart w:id="42" w:name="_Toc28335"/>
      <w:bookmarkStart w:id="43" w:name="_Toc42069009"/>
      <w:r>
        <w:rPr>
          <w:rFonts w:hint="eastAsia" w:eastAsia="黑体"/>
          <w:b/>
          <w:bCs/>
          <w:kern w:val="44"/>
          <w:sz w:val="32"/>
          <w:szCs w:val="44"/>
        </w:rPr>
        <w:t>三、</w:t>
      </w:r>
      <w:bookmarkEnd w:id="37"/>
      <w:r>
        <w:rPr>
          <w:rFonts w:hint="eastAsia" w:eastAsia="黑体"/>
          <w:b/>
          <w:bCs/>
          <w:kern w:val="44"/>
          <w:sz w:val="32"/>
          <w:szCs w:val="44"/>
        </w:rPr>
        <w:t>推动结构转型，</w:t>
      </w:r>
      <w:bookmarkEnd w:id="38"/>
      <w:r>
        <w:rPr>
          <w:rFonts w:hint="eastAsia" w:eastAsia="黑体"/>
          <w:b/>
          <w:bCs/>
          <w:kern w:val="44"/>
          <w:sz w:val="32"/>
          <w:szCs w:val="44"/>
        </w:rPr>
        <w:t>积极促成碳达峰</w:t>
      </w:r>
      <w:bookmarkEnd w:id="39"/>
    </w:p>
    <w:p>
      <w:pPr>
        <w:keepNext/>
        <w:keepLines/>
        <w:spacing w:line="600" w:lineRule="exact"/>
        <w:ind w:firstLine="630" w:firstLineChars="196"/>
        <w:jc w:val="left"/>
        <w:outlineLvl w:val="1"/>
        <w:rPr>
          <w:rFonts w:eastAsia="楷体_GB2312"/>
          <w:b/>
          <w:bCs/>
          <w:sz w:val="32"/>
          <w:szCs w:val="32"/>
        </w:rPr>
      </w:pPr>
      <w:bookmarkStart w:id="44" w:name="_Toc75857505"/>
      <w:bookmarkStart w:id="45" w:name="_Toc87116139"/>
      <w:bookmarkStart w:id="46" w:name="_Toc24910"/>
      <w:r>
        <w:rPr>
          <w:rFonts w:hint="eastAsia" w:eastAsia="楷体_GB2312" w:cs="宋体"/>
          <w:b/>
          <w:bCs/>
          <w:sz w:val="32"/>
          <w:szCs w:val="32"/>
        </w:rPr>
        <w:t>（一）促进产业结构优化升级</w:t>
      </w:r>
      <w:bookmarkEnd w:id="44"/>
      <w:bookmarkEnd w:id="45"/>
      <w:bookmarkEnd w:id="46"/>
    </w:p>
    <w:p>
      <w:pPr>
        <w:spacing w:line="600" w:lineRule="exact"/>
        <w:ind w:firstLine="643" w:firstLineChars="200"/>
        <w:rPr>
          <w:rFonts w:eastAsia="仿宋_GB2312"/>
          <w:sz w:val="32"/>
          <w:szCs w:val="32"/>
        </w:rPr>
      </w:pPr>
      <w:r>
        <w:rPr>
          <w:rFonts w:eastAsia="仿宋_GB2312"/>
          <w:b/>
          <w:bCs/>
          <w:sz w:val="32"/>
          <w:szCs w:val="32"/>
          <w:lang w:val="zh-CN"/>
        </w:rPr>
        <w:t>1</w:t>
      </w:r>
      <w:r>
        <w:rPr>
          <w:rFonts w:hint="eastAsia" w:eastAsia="仿宋_GB2312"/>
          <w:b/>
          <w:bCs/>
          <w:sz w:val="32"/>
          <w:szCs w:val="32"/>
        </w:rPr>
        <w:t>.</w:t>
      </w:r>
      <w:r>
        <w:rPr>
          <w:rFonts w:hint="eastAsia" w:eastAsia="仿宋_GB2312"/>
          <w:b/>
          <w:bCs/>
          <w:sz w:val="32"/>
          <w:szCs w:val="32"/>
          <w:lang w:val="zh-CN"/>
        </w:rPr>
        <w:t>推动</w:t>
      </w:r>
      <w:r>
        <w:rPr>
          <w:rFonts w:hint="eastAsia" w:eastAsia="仿宋_GB2312"/>
          <w:b/>
          <w:bCs/>
          <w:sz w:val="32"/>
          <w:szCs w:val="32"/>
        </w:rPr>
        <w:t>工业结构绿色</w:t>
      </w:r>
      <w:r>
        <w:rPr>
          <w:rFonts w:hint="eastAsia" w:eastAsia="仿宋_GB2312"/>
          <w:b/>
          <w:bCs/>
          <w:sz w:val="32"/>
          <w:szCs w:val="32"/>
          <w:lang w:val="zh-CN"/>
        </w:rPr>
        <w:t>升级。</w:t>
      </w:r>
      <w:r>
        <w:rPr>
          <w:rFonts w:hint="eastAsia" w:eastAsia="仿宋_GB2312"/>
          <w:bCs/>
          <w:sz w:val="32"/>
          <w:szCs w:val="32"/>
        </w:rPr>
        <w:t>推进新型工业化，加快发展战略性新兴产业，把握先进制造业的发展优势，提高龙头企业的带动作用。结合宁乡市资源优势，发展壮大先进装备制造、新材料、生物医药、食品、新能源等优势产业，扶持成为产业龙头，打造生产规模大、核心竞争力强的行业领军企业。加快实施新能源、化工、有色、建材、电镀等行业绿色化改造，推行产品绿色设计，建设绿色制造体系。建设资源综合利用基地，促进工业固体废物综合利用。大力培育环保产业市场，建设环保产业园区、扶持环保骨干企业、打造环保名牌产品、启动环保科研项目。重点发展性能先进、经济高效的污染控制设备、节水节能设备、高技术产业环境保护技术装备等。</w:t>
      </w:r>
    </w:p>
    <w:p>
      <w:pPr>
        <w:spacing w:line="600" w:lineRule="exact"/>
        <w:ind w:firstLine="643" w:firstLineChars="200"/>
        <w:rPr>
          <w:rFonts w:eastAsia="仿宋_GB2312"/>
          <w:sz w:val="32"/>
          <w:szCs w:val="32"/>
        </w:rPr>
      </w:pPr>
      <w:r>
        <w:rPr>
          <w:rFonts w:eastAsia="仿宋_GB2312"/>
          <w:b/>
          <w:bCs/>
          <w:sz w:val="32"/>
          <w:szCs w:val="32"/>
          <w:lang w:val="zh-CN"/>
        </w:rPr>
        <w:t>2</w:t>
      </w:r>
      <w:r>
        <w:rPr>
          <w:rFonts w:hint="eastAsia" w:eastAsia="仿宋_GB2312"/>
          <w:b/>
          <w:bCs/>
          <w:sz w:val="32"/>
          <w:szCs w:val="32"/>
        </w:rPr>
        <w:t>.</w:t>
      </w:r>
      <w:r>
        <w:rPr>
          <w:rFonts w:hint="eastAsia" w:eastAsia="仿宋_GB2312"/>
          <w:b/>
          <w:bCs/>
          <w:sz w:val="32"/>
          <w:szCs w:val="32"/>
          <w:lang w:val="zh-CN"/>
        </w:rPr>
        <w:t>加快能源结构调整优化。</w:t>
      </w:r>
      <w:r>
        <w:rPr>
          <w:rFonts w:hint="eastAsia" w:eastAsia="仿宋_GB2312"/>
          <w:sz w:val="32"/>
          <w:szCs w:val="32"/>
        </w:rPr>
        <w:t>优化能源供给结构，构建清洁低碳、安全高效的能源体系，坚决遏制高耗能、高排放产业项目盲目上马，支持工业企业积极开展天然气代煤和电代煤的“双替代”技术改造，推动煤炭消费比重的降低。对“两高”产业项目进行技术改造，促进煤炭消费尽快达峰，减少燃煤排放，促进燃煤电厂各种形式的余热取暖和热能利用，降低能耗。促进能源动力系统的经济运行，推进能源基础设施建设，应用各种先进技术提升能源利用效率。开发利用可再生能源，促进能源产品多元化，加大地热能、风能、水能、太阳能、氢能等的布局试点和推广。统筹推进新能源产业，做优做强新能源装备，增加天然气供应能力，推进形成安全清洁的新型能源消费方式，推动大规模储能技术的研发和普及应用。</w:t>
      </w:r>
    </w:p>
    <w:p>
      <w:pPr>
        <w:spacing w:line="600" w:lineRule="exact"/>
        <w:ind w:firstLine="643" w:firstLineChars="200"/>
        <w:rPr>
          <w:rFonts w:eastAsia="仿宋_GB2312"/>
          <w:sz w:val="32"/>
          <w:szCs w:val="32"/>
        </w:rPr>
      </w:pPr>
      <w:r>
        <w:rPr>
          <w:rFonts w:eastAsia="仿宋_GB2312"/>
          <w:b/>
          <w:bCs/>
          <w:sz w:val="32"/>
          <w:szCs w:val="32"/>
          <w:lang w:val="zh-CN"/>
        </w:rPr>
        <w:t>3</w:t>
      </w:r>
      <w:r>
        <w:rPr>
          <w:rFonts w:hint="eastAsia" w:eastAsia="仿宋_GB2312"/>
          <w:b/>
          <w:bCs/>
          <w:sz w:val="32"/>
          <w:szCs w:val="32"/>
        </w:rPr>
        <w:t>.</w:t>
      </w:r>
      <w:r>
        <w:rPr>
          <w:rFonts w:hint="eastAsia" w:eastAsia="仿宋_GB2312"/>
          <w:b/>
          <w:bCs/>
          <w:sz w:val="32"/>
          <w:szCs w:val="32"/>
          <w:lang w:val="zh-CN"/>
        </w:rPr>
        <w:t>推动运输结构高效优化。</w:t>
      </w:r>
      <w:r>
        <w:rPr>
          <w:rFonts w:hint="eastAsia" w:eastAsia="仿宋_GB2312"/>
          <w:sz w:val="32"/>
          <w:szCs w:val="32"/>
        </w:rPr>
        <w:t>加快铁路运输能力建设，减少公路货运比例，积极推进公路向铁路的转化。强化公路货运车辆超限超载治理，减少汽油、柴油等的消耗，建设低碳高效的交通运输体系。推动绿色配送，鼓励清洁能源车辆的推广和使用，加大新能源配送车辆的覆盖。推进多式联运，加强干线公路和高速公路货运通道的衔接，开展多式联运试点示范。完善公路骨架，提高公路质量和通达深度，形成安全高效的交通运输体系。大力发展现代物流业，围绕区域物流中心，依托交通枢纽、开发区等，借助“互联网+”融合物流业和电子商务，构建智能物流公共服务平台，建立运输结构调整信息运行监测和报送机制，推动道路货运行业集约高效发展。</w:t>
      </w:r>
    </w:p>
    <w:p>
      <w:pPr>
        <w:spacing w:line="600" w:lineRule="exact"/>
        <w:ind w:firstLine="643" w:firstLineChars="200"/>
        <w:rPr>
          <w:rFonts w:eastAsia="仿宋_GB2312"/>
          <w:sz w:val="32"/>
          <w:szCs w:val="32"/>
        </w:rPr>
      </w:pPr>
      <w:r>
        <w:rPr>
          <w:rFonts w:eastAsia="仿宋_GB2312"/>
          <w:b/>
          <w:bCs/>
          <w:sz w:val="32"/>
          <w:szCs w:val="32"/>
          <w:lang w:val="zh-CN"/>
        </w:rPr>
        <w:t>4</w:t>
      </w:r>
      <w:r>
        <w:rPr>
          <w:rFonts w:hint="eastAsia" w:eastAsia="仿宋_GB2312"/>
          <w:b/>
          <w:bCs/>
          <w:sz w:val="32"/>
          <w:szCs w:val="32"/>
        </w:rPr>
        <w:t>.</w:t>
      </w:r>
      <w:r>
        <w:rPr>
          <w:rFonts w:hint="eastAsia" w:eastAsia="仿宋_GB2312"/>
          <w:b/>
          <w:bCs/>
          <w:sz w:val="32"/>
          <w:szCs w:val="32"/>
          <w:lang w:val="zh-CN"/>
        </w:rPr>
        <w:t>推行现代生态农业结构。</w:t>
      </w:r>
      <w:r>
        <w:rPr>
          <w:rFonts w:hint="eastAsia" w:eastAsia="仿宋_GB2312"/>
          <w:sz w:val="32"/>
          <w:szCs w:val="32"/>
        </w:rPr>
        <w:t>建设现代农业体系，在现代农业科技示范区、现代粮食产业示范区推行高效生态农业。积极发展高效设施农业、生态农业、园艺农业、特色精品农业、休闲观光农业、创意农业等现代农业生产体系，推广“种养</w:t>
      </w:r>
      <w:r>
        <w:rPr>
          <w:rFonts w:eastAsia="仿宋_GB2312"/>
          <w:sz w:val="32"/>
          <w:szCs w:val="32"/>
        </w:rPr>
        <w:t>+</w:t>
      </w:r>
      <w:r>
        <w:rPr>
          <w:rFonts w:hint="eastAsia" w:eastAsia="仿宋_GB2312"/>
          <w:sz w:val="32"/>
          <w:szCs w:val="32"/>
        </w:rPr>
        <w:t>加工</w:t>
      </w:r>
      <w:r>
        <w:rPr>
          <w:rFonts w:eastAsia="仿宋_GB2312"/>
          <w:sz w:val="32"/>
          <w:szCs w:val="32"/>
        </w:rPr>
        <w:t>+</w:t>
      </w:r>
      <w:r>
        <w:rPr>
          <w:rFonts w:hint="eastAsia" w:eastAsia="仿宋_GB2312"/>
          <w:sz w:val="32"/>
          <w:szCs w:val="32"/>
        </w:rPr>
        <w:t>观光旅游</w:t>
      </w:r>
      <w:r>
        <w:rPr>
          <w:rFonts w:eastAsia="仿宋_GB2312"/>
          <w:sz w:val="32"/>
          <w:szCs w:val="32"/>
        </w:rPr>
        <w:t>+</w:t>
      </w:r>
      <w:r>
        <w:rPr>
          <w:rFonts w:hint="eastAsia" w:eastAsia="仿宋_GB2312"/>
          <w:sz w:val="32"/>
          <w:szCs w:val="32"/>
        </w:rPr>
        <w:t>科普体验</w:t>
      </w:r>
      <w:r>
        <w:rPr>
          <w:rFonts w:eastAsia="仿宋_GB2312"/>
          <w:sz w:val="32"/>
          <w:szCs w:val="32"/>
        </w:rPr>
        <w:t>+</w:t>
      </w:r>
      <w:r>
        <w:rPr>
          <w:rFonts w:hint="eastAsia" w:eastAsia="仿宋_GB2312"/>
          <w:sz w:val="32"/>
          <w:szCs w:val="32"/>
        </w:rPr>
        <w:t>特色农产品销售”的新型休闲农业发展模式，以旅游带动特色优势农产品的生产和销售。推进农业规模经营，鼓励发展种田大户、家庭农场、专业合作社，建设大型商品粮生产基地。大力发展农产品深加工产业，提高农产品的商品化水平。加快品种选优培强，推广精细化和无公害绿色生产集成技术，加快特色优势农业由高产优质高效农业向生态绿色高效农业转变。</w:t>
      </w:r>
    </w:p>
    <w:p>
      <w:pPr>
        <w:keepNext/>
        <w:keepLines/>
        <w:spacing w:line="600" w:lineRule="exact"/>
        <w:ind w:firstLine="630" w:firstLineChars="196"/>
        <w:jc w:val="left"/>
        <w:outlineLvl w:val="1"/>
        <w:rPr>
          <w:rFonts w:eastAsia="楷体_GB2312"/>
          <w:b/>
          <w:bCs/>
          <w:sz w:val="32"/>
          <w:szCs w:val="32"/>
        </w:rPr>
      </w:pPr>
      <w:bookmarkStart w:id="47" w:name="_Toc24295"/>
      <w:bookmarkStart w:id="48" w:name="_Toc75857506"/>
      <w:bookmarkStart w:id="49" w:name="_Toc87116140"/>
      <w:r>
        <w:rPr>
          <w:rFonts w:hint="eastAsia" w:eastAsia="楷体_GB2312" w:cs="宋体"/>
          <w:b/>
          <w:bCs/>
          <w:sz w:val="32"/>
          <w:szCs w:val="32"/>
        </w:rPr>
        <w:t>（二）</w:t>
      </w:r>
      <w:bookmarkEnd w:id="47"/>
      <w:bookmarkEnd w:id="48"/>
      <w:r>
        <w:rPr>
          <w:rFonts w:hint="eastAsia" w:eastAsia="楷体_GB2312" w:cs="宋体"/>
          <w:b/>
          <w:bCs/>
          <w:sz w:val="32"/>
          <w:szCs w:val="32"/>
        </w:rPr>
        <w:t>健全绿色低碳循环体系</w:t>
      </w:r>
      <w:bookmarkEnd w:id="49"/>
    </w:p>
    <w:p>
      <w:pPr>
        <w:spacing w:line="600" w:lineRule="exact"/>
        <w:ind w:firstLine="643" w:firstLineChars="200"/>
        <w:rPr>
          <w:rFonts w:eastAsia="仿宋_GB2312"/>
          <w:sz w:val="32"/>
          <w:szCs w:val="32"/>
        </w:rPr>
      </w:pPr>
      <w:r>
        <w:rPr>
          <w:rFonts w:eastAsia="仿宋_GB2312"/>
          <w:b/>
          <w:bCs/>
          <w:sz w:val="32"/>
          <w:szCs w:val="32"/>
        </w:rPr>
        <w:t>1</w:t>
      </w:r>
      <w:r>
        <w:rPr>
          <w:rFonts w:hint="eastAsia" w:eastAsia="仿宋_GB2312"/>
          <w:b/>
          <w:bCs/>
          <w:sz w:val="32"/>
          <w:szCs w:val="32"/>
        </w:rPr>
        <w:t>.加快循环农业发展。</w:t>
      </w:r>
      <w:r>
        <w:rPr>
          <w:rFonts w:hint="eastAsia" w:eastAsia="仿宋_GB2312"/>
          <w:sz w:val="32"/>
          <w:szCs w:val="32"/>
        </w:rPr>
        <w:t>围绕粮油、水果、蔬菜、生猪、家禽、水产等产业，重点发展“种</w:t>
      </w:r>
      <w:r>
        <w:rPr>
          <w:rFonts w:eastAsia="仿宋_GB2312"/>
          <w:sz w:val="32"/>
          <w:szCs w:val="32"/>
        </w:rPr>
        <w:t>-</w:t>
      </w:r>
      <w:r>
        <w:rPr>
          <w:rFonts w:hint="eastAsia" w:eastAsia="仿宋_GB2312"/>
          <w:sz w:val="32"/>
          <w:szCs w:val="32"/>
        </w:rPr>
        <w:t>养</w:t>
      </w:r>
      <w:r>
        <w:rPr>
          <w:rFonts w:eastAsia="仿宋_GB2312"/>
          <w:sz w:val="32"/>
          <w:szCs w:val="32"/>
        </w:rPr>
        <w:t>-</w:t>
      </w:r>
      <w:r>
        <w:rPr>
          <w:rFonts w:hint="eastAsia" w:eastAsia="仿宋_GB2312"/>
          <w:sz w:val="32"/>
          <w:szCs w:val="32"/>
        </w:rPr>
        <w:t>深加工”型循环农业。鼓励发展生态种植、生态养殖，加强绿色食品、有机农产品认证和管理。发展生态循环农业，提高畜禽粪污资源化利用水平，推进农作物秸秆综合利用，加强农膜污染治理。强化耕地质量保护与提升，推进退化耕地综合治理。发展林业循环经济，实施森林生态标志产品建设工程。大力推进农业节水，推广高效节水技术，多渠道开发再生水等非常规水源，实行分质供水，将再生水就近用于农田灌溉、生态绿地维护和河流补给，实现水资源循环利用。实施农药、兽用抗菌药使用减量和产地环境净化行动。依法加强养殖水域滩涂统一规划，完善相关水域禁渔管理制度，推进农业与旅游、教育、文化、健康等产业深度融合，加快一二三产业融合发展。</w:t>
      </w:r>
    </w:p>
    <w:p>
      <w:pPr>
        <w:spacing w:line="600" w:lineRule="exact"/>
        <w:ind w:firstLine="643" w:firstLineChars="200"/>
        <w:rPr>
          <w:rFonts w:eastAsia="仿宋_GB2312"/>
          <w:sz w:val="32"/>
          <w:szCs w:val="32"/>
        </w:rPr>
      </w:pPr>
      <w:r>
        <w:rPr>
          <w:rFonts w:hint="eastAsia" w:eastAsia="仿宋_GB2312"/>
          <w:b/>
          <w:bCs/>
          <w:sz w:val="32"/>
          <w:szCs w:val="32"/>
        </w:rPr>
        <w:t>2.</w:t>
      </w:r>
      <w:r>
        <w:rPr>
          <w:rFonts w:hint="eastAsia" w:eastAsia="仿宋_GB2312"/>
          <w:b/>
          <w:bCs/>
          <w:sz w:val="32"/>
          <w:szCs w:val="32"/>
          <w:lang w:val="zh-CN"/>
        </w:rPr>
        <w:t>推行清洁生产。</w:t>
      </w:r>
      <w:r>
        <w:rPr>
          <w:rFonts w:hint="eastAsia" w:eastAsia="仿宋_GB2312"/>
          <w:sz w:val="32"/>
          <w:szCs w:val="32"/>
        </w:rPr>
        <w:t>持续开展清洁生产宣传工作，加强对清洁生产审核工作的指导和监督，督促企业按照相关要求和程序开展审核工作，从源头上控制污染物排放，做到节能降耗减污增效。鼓励开发绿色产品，研发生产、回收处理过程中有毒有害物质控制技术和易回收、可重复使用的绿色环保材料，协调降低清洁产品的价格。生产和科学使用对环境友好的绿色肥料、农药、地膜等，减少和降低农业污染物的数量和毒性。</w:t>
      </w:r>
    </w:p>
    <w:p>
      <w:pPr>
        <w:spacing w:line="600" w:lineRule="exact"/>
        <w:ind w:firstLine="643" w:firstLineChars="200"/>
        <w:rPr>
          <w:rFonts w:eastAsia="仿宋_GB2312"/>
          <w:b/>
          <w:bCs/>
          <w:sz w:val="32"/>
          <w:szCs w:val="32"/>
        </w:rPr>
      </w:pPr>
      <w:r>
        <w:rPr>
          <w:rFonts w:hint="eastAsia" w:eastAsia="仿宋_GB2312"/>
          <w:b/>
          <w:bCs/>
          <w:sz w:val="32"/>
          <w:szCs w:val="32"/>
        </w:rPr>
        <w:t>3.推进工业绿色升级。</w:t>
      </w:r>
      <w:r>
        <w:rPr>
          <w:rFonts w:hint="eastAsia" w:eastAsia="仿宋_GB2312"/>
          <w:sz w:val="32"/>
          <w:szCs w:val="32"/>
        </w:rPr>
        <w:t>发展“原料</w:t>
      </w:r>
      <w:r>
        <w:rPr>
          <w:rFonts w:eastAsia="仿宋_GB2312"/>
          <w:sz w:val="32"/>
          <w:szCs w:val="32"/>
        </w:rPr>
        <w:t>-</w:t>
      </w:r>
      <w:r>
        <w:rPr>
          <w:rFonts w:hint="eastAsia" w:eastAsia="仿宋_GB2312"/>
          <w:sz w:val="32"/>
          <w:szCs w:val="32"/>
        </w:rPr>
        <w:t>产品</w:t>
      </w:r>
      <w:r>
        <w:rPr>
          <w:rFonts w:eastAsia="仿宋_GB2312"/>
          <w:sz w:val="32"/>
          <w:szCs w:val="32"/>
        </w:rPr>
        <w:t>-</w:t>
      </w:r>
      <w:r>
        <w:rPr>
          <w:rFonts w:hint="eastAsia" w:eastAsia="仿宋_GB2312"/>
          <w:sz w:val="32"/>
          <w:szCs w:val="32"/>
        </w:rPr>
        <w:t>废弃物</w:t>
      </w:r>
      <w:r>
        <w:rPr>
          <w:rFonts w:eastAsia="仿宋_GB2312"/>
          <w:sz w:val="32"/>
          <w:szCs w:val="32"/>
        </w:rPr>
        <w:t>-</w:t>
      </w:r>
      <w:r>
        <w:rPr>
          <w:rFonts w:hint="eastAsia" w:eastAsia="仿宋_GB2312"/>
          <w:sz w:val="32"/>
          <w:szCs w:val="32"/>
        </w:rPr>
        <w:t>再生原料”的工业循环模式。对宁乡市杉杉新能源、邦普循环、中科星城、湖南粮食集团宁乡产业园等企业形成的先进储能材料和食品产业链进行生态化重组，提升产业链的竞争效率和生态化水平，采用单元补链、产业链延伸、基础设施共享、不同基础设施耦合等手段优化循环产业链共生路径，推进生态工业园的建设。以宁乡经济开发区等循环产业园作为循环经济试点示范，带动循环经济规模化。对园区内供水、供电、照明等基础设施进行循环化改造，大力发展循环用水、串联用水和回用水系统技术，升级改造污染集中治理设施。</w:t>
      </w:r>
    </w:p>
    <w:p>
      <w:pPr>
        <w:spacing w:line="600" w:lineRule="exact"/>
        <w:ind w:firstLine="643" w:firstLineChars="200"/>
        <w:rPr>
          <w:rFonts w:eastAsia="仿宋_GB2312"/>
          <w:sz w:val="32"/>
          <w:szCs w:val="32"/>
        </w:rPr>
      </w:pPr>
      <w:r>
        <w:rPr>
          <w:rFonts w:hint="eastAsia" w:eastAsia="仿宋_GB2312"/>
          <w:b/>
          <w:bCs/>
          <w:sz w:val="32"/>
          <w:szCs w:val="32"/>
        </w:rPr>
        <w:t>4.推动服务业绿色循环。</w:t>
      </w:r>
      <w:r>
        <w:rPr>
          <w:rFonts w:hint="eastAsia" w:eastAsia="仿宋_GB2312"/>
          <w:sz w:val="32"/>
          <w:szCs w:val="32"/>
        </w:rPr>
        <w:t>推广服务业使用可循环物品、可再生包装材料，垃圾资源化利用和无害化处置，推进节水节能节电设施的利用。完善宁乡市餐厨垃圾收运、处置体系。推广垃圾分类，提高垃圾回收利用率，推进厨余垃圾转化为沼气或用于燃烧发电、粉碎塑料瓶回收利用等，推行垃圾处置收费制度，从源头上控制企业产品及物流过程中的过度包装。发展废弃资源和废旧材料回收加工产业，加强废旧锂电池资源化回收处理和高端电池材料生产。以能源节约和资源循环利用技术装备为重点，积极推动报废汽车和废旧家电回收拆解、汽车零部件再制造、废塑料和废有色金属等资源综合利用。</w:t>
      </w:r>
    </w:p>
    <w:p>
      <w:pPr>
        <w:pStyle w:val="2"/>
        <w:rPr>
          <w:rFonts w:eastAsia="仿宋_GB2312"/>
          <w:sz w:val="32"/>
          <w:szCs w:val="32"/>
        </w:rPr>
      </w:pPr>
      <w:r>
        <w:rPr>
          <w:rFonts w:hint="eastAsia" w:eastAsia="仿宋_GB2312"/>
          <w:b/>
          <w:bCs/>
          <w:kern w:val="2"/>
          <w:sz w:val="32"/>
          <w:szCs w:val="32"/>
        </w:rPr>
        <w:t>5.完善建筑垃圾管理和资源化利用。</w:t>
      </w:r>
      <w:r>
        <w:rPr>
          <w:rFonts w:hint="eastAsia" w:eastAsia="仿宋_GB2312"/>
          <w:sz w:val="32"/>
          <w:szCs w:val="32"/>
        </w:rPr>
        <w:t>编制宁乡市建筑垃圾资源化利用专项规划，合理确定建筑垃圾转运调配、消纳处置和资源化利用设施的布局和规模，鼓励探索跨区域的建筑垃圾治理模式；按相关要求建立动态、闭合的建筑垃圾监管平台，并与省市两级平台对接，实现建筑垃圾全生命周期监管，防止建筑垃圾随意堆放；开展辖区建筑垃圾现状及潜在产生量评估，根据评估情况提出建筑垃圾再生利用对策；加快推进宁乡市建筑装修垃圾资源化处置场所建设，建成一批布局合理、技术先进、规模适宜、管理规范的建筑垃圾资源化利用示范项目，逐步提高建筑垃圾资源化综合利用率。</w:t>
      </w:r>
    </w:p>
    <w:p>
      <w:pPr>
        <w:keepNext/>
        <w:keepLines/>
        <w:spacing w:line="600" w:lineRule="exact"/>
        <w:ind w:firstLine="630" w:firstLineChars="196"/>
        <w:jc w:val="left"/>
        <w:outlineLvl w:val="1"/>
        <w:rPr>
          <w:rFonts w:eastAsia="楷体_GB2312"/>
          <w:b/>
          <w:bCs/>
          <w:sz w:val="32"/>
          <w:szCs w:val="32"/>
        </w:rPr>
      </w:pPr>
      <w:bookmarkStart w:id="50" w:name="_Toc6731"/>
      <w:bookmarkStart w:id="51" w:name="_Toc75857507"/>
      <w:bookmarkStart w:id="52" w:name="_Toc87116141"/>
      <w:r>
        <w:rPr>
          <w:rFonts w:hint="eastAsia" w:eastAsia="楷体_GB2312" w:cs="宋体"/>
          <w:b/>
          <w:bCs/>
          <w:sz w:val="32"/>
          <w:szCs w:val="32"/>
        </w:rPr>
        <w:t>（三）倡导培育绿色生活方式</w:t>
      </w:r>
      <w:bookmarkEnd w:id="50"/>
      <w:bookmarkEnd w:id="51"/>
      <w:bookmarkEnd w:id="52"/>
    </w:p>
    <w:p>
      <w:pPr>
        <w:spacing w:line="600" w:lineRule="exact"/>
        <w:ind w:firstLine="643" w:firstLineChars="200"/>
        <w:rPr>
          <w:rFonts w:eastAsia="仿宋_GB2312"/>
          <w:sz w:val="32"/>
          <w:szCs w:val="32"/>
        </w:rPr>
      </w:pPr>
      <w:r>
        <w:rPr>
          <w:rFonts w:eastAsia="仿宋_GB2312"/>
          <w:b/>
          <w:bCs/>
          <w:sz w:val="32"/>
          <w:szCs w:val="32"/>
        </w:rPr>
        <w:t>1</w:t>
      </w:r>
      <w:r>
        <w:rPr>
          <w:rFonts w:hint="eastAsia" w:eastAsia="仿宋_GB2312"/>
          <w:b/>
          <w:bCs/>
          <w:sz w:val="32"/>
          <w:szCs w:val="32"/>
        </w:rPr>
        <w:t>.普及绿色理念。</w:t>
      </w:r>
      <w:r>
        <w:rPr>
          <w:rFonts w:hint="eastAsia" w:eastAsia="仿宋_GB2312"/>
          <w:sz w:val="32"/>
          <w:szCs w:val="32"/>
        </w:rPr>
        <w:t>制定市民节能环保小手册，大力宣传和引导市民注重节约、节能和环保，养成节能节水和外出就餐“光盘”的生活习惯。广泛开展生活垃圾分类进社区、进学校、进村庄的宣传活动，引导群众的形成垃圾分类观念，提高环境意识。在家庭、学校、企业、行政机关及公共场所形成“四色垃圾桶和垃圾袋”的生活习惯。</w:t>
      </w:r>
    </w:p>
    <w:p>
      <w:pPr>
        <w:spacing w:line="600" w:lineRule="exact"/>
        <w:ind w:firstLine="643" w:firstLineChars="200"/>
        <w:rPr>
          <w:rFonts w:eastAsia="仿宋_GB2312"/>
          <w:sz w:val="32"/>
          <w:szCs w:val="32"/>
        </w:rPr>
      </w:pPr>
      <w:r>
        <w:rPr>
          <w:rFonts w:eastAsia="仿宋_GB2312"/>
          <w:b/>
          <w:bCs/>
          <w:sz w:val="32"/>
          <w:szCs w:val="32"/>
        </w:rPr>
        <w:t>2</w:t>
      </w:r>
      <w:r>
        <w:rPr>
          <w:rFonts w:hint="eastAsia" w:eastAsia="仿宋_GB2312"/>
          <w:b/>
          <w:bCs/>
          <w:sz w:val="32"/>
          <w:szCs w:val="32"/>
        </w:rPr>
        <w:t>.践行绿色消费。</w:t>
      </w:r>
      <w:r>
        <w:rPr>
          <w:rFonts w:hint="eastAsia" w:eastAsia="仿宋_GB2312"/>
          <w:sz w:val="32"/>
          <w:szCs w:val="32"/>
        </w:rPr>
        <w:t>科学制定绿色消费产品采购指南，提倡公众优先采购经过生态设计或通过环境标志认证的产品；加强绿色消费理念的宣传普及，鼓励群众在日常消费中选购绿色、环保、可循环产品，减少使用一次性筷子、纸杯、塑料袋等制品；倡导从节约一度电、一滴水、一张纸做起，养成简约适度的消费习惯；倡导机关企事业单位带头践行绿色消费，推行政府绿色采购，政府绿色采购比例不低于</w:t>
      </w:r>
      <w:r>
        <w:rPr>
          <w:rFonts w:eastAsia="仿宋_GB2312"/>
          <w:sz w:val="32"/>
          <w:szCs w:val="32"/>
        </w:rPr>
        <w:t>80%</w:t>
      </w:r>
      <w:r>
        <w:rPr>
          <w:rFonts w:hint="eastAsia" w:eastAsia="仿宋_GB2312"/>
          <w:sz w:val="32"/>
          <w:szCs w:val="32"/>
        </w:rPr>
        <w:t>。</w:t>
      </w:r>
    </w:p>
    <w:p>
      <w:pPr>
        <w:spacing w:line="600" w:lineRule="exact"/>
        <w:ind w:firstLine="643" w:firstLineChars="200"/>
        <w:rPr>
          <w:rFonts w:eastAsia="仿宋_GB2312"/>
          <w:sz w:val="32"/>
          <w:szCs w:val="32"/>
        </w:rPr>
      </w:pPr>
      <w:r>
        <w:rPr>
          <w:rFonts w:hint="eastAsia" w:eastAsia="仿宋_GB2312"/>
          <w:b/>
          <w:bCs/>
          <w:sz w:val="32"/>
          <w:szCs w:val="32"/>
        </w:rPr>
        <w:t>3.加强白色污染治理。</w:t>
      </w:r>
      <w:r>
        <w:rPr>
          <w:rFonts w:hint="eastAsia" w:eastAsia="仿宋_GB2312"/>
          <w:sz w:val="32"/>
          <w:szCs w:val="32"/>
        </w:rPr>
        <w:t>严格执行《关于进一步加强塑料污染治理的意见》《湖南省进一步加强塑料污染治理的实施方案》，做好狠抓源头管控，推广应用替代产品和模式，强化塑料废物回收利用和处置，推行绿色低碳生活方式、严格监管执法等方式加强塑料污染治理，逐步淘汰不可降解塑料袋、一次性塑料餐具、宾馆酒店一次性塑料制品等。</w:t>
      </w:r>
    </w:p>
    <w:p>
      <w:pPr>
        <w:spacing w:line="600" w:lineRule="exact"/>
        <w:ind w:firstLine="643" w:firstLineChars="200"/>
        <w:rPr>
          <w:rFonts w:eastAsia="仿宋_GB2312"/>
          <w:sz w:val="32"/>
          <w:szCs w:val="32"/>
        </w:rPr>
      </w:pPr>
      <w:r>
        <w:rPr>
          <w:rFonts w:hint="eastAsia" w:eastAsia="仿宋_GB2312"/>
          <w:b/>
          <w:bCs/>
          <w:sz w:val="32"/>
          <w:szCs w:val="32"/>
        </w:rPr>
        <w:t>4.鼓励绿色出行。</w:t>
      </w:r>
      <w:r>
        <w:rPr>
          <w:rFonts w:hint="eastAsia" w:eastAsia="仿宋_GB2312"/>
          <w:sz w:val="32"/>
          <w:szCs w:val="32"/>
        </w:rPr>
        <w:t>持续开展“城市无车日”活动，倡导“能走不骑，能骑不坐，能坐不开”的出行理念，倡导健康绿色出行方式，减少出行所带来的时间、经济、健康和环境成本，鼓励市民选择公共交通、步行和自行车交通等经济、节约的低碳绿色交通方式。鼓励购买小排量、新能源等环保车型，持续增加公交、出租、物流配送等公共领域车辆新能源汽车比例。</w:t>
      </w:r>
    </w:p>
    <w:p>
      <w:pPr>
        <w:spacing w:line="600" w:lineRule="exact"/>
        <w:ind w:firstLine="643" w:firstLineChars="200"/>
        <w:rPr>
          <w:rFonts w:eastAsia="仿宋_GB2312"/>
          <w:sz w:val="32"/>
          <w:szCs w:val="32"/>
        </w:rPr>
      </w:pPr>
      <w:r>
        <w:rPr>
          <w:rFonts w:eastAsia="仿宋_GB2312"/>
          <w:b/>
          <w:bCs/>
          <w:sz w:val="32"/>
          <w:szCs w:val="32"/>
        </w:rPr>
        <w:t>4</w:t>
      </w:r>
      <w:r>
        <w:rPr>
          <w:rFonts w:hint="eastAsia" w:eastAsia="仿宋_GB2312"/>
          <w:b/>
          <w:bCs/>
          <w:sz w:val="32"/>
          <w:szCs w:val="32"/>
        </w:rPr>
        <w:t>.倡导绿色办公。</w:t>
      </w:r>
      <w:r>
        <w:rPr>
          <w:rFonts w:hint="eastAsia" w:eastAsia="仿宋_GB2312"/>
          <w:sz w:val="32"/>
          <w:szCs w:val="32"/>
        </w:rPr>
        <w:t>坚持办公场所夏季空调设定不低于</w:t>
      </w:r>
      <w:r>
        <w:rPr>
          <w:rFonts w:eastAsia="仿宋_GB2312"/>
          <w:sz w:val="32"/>
          <w:szCs w:val="32"/>
        </w:rPr>
        <w:t>26</w:t>
      </w:r>
      <w:r>
        <w:rPr>
          <w:rFonts w:hint="eastAsia" w:eastAsia="仿宋_GB2312"/>
          <w:sz w:val="32"/>
          <w:szCs w:val="32"/>
        </w:rPr>
        <w:t>℃，冬季办公场所空调设定不高于</w:t>
      </w:r>
      <w:r>
        <w:rPr>
          <w:rFonts w:eastAsia="仿宋_GB2312"/>
          <w:sz w:val="32"/>
          <w:szCs w:val="32"/>
        </w:rPr>
        <w:t>20</w:t>
      </w:r>
      <w:r>
        <w:rPr>
          <w:rFonts w:hint="eastAsia" w:eastAsia="仿宋_GB2312"/>
          <w:sz w:val="32"/>
          <w:szCs w:val="32"/>
        </w:rPr>
        <w:t>℃，无人时关闭空调。提倡纸张双面使用，倡导网络无纸化办公，尽量通过网络传递资料，减少重复打印、复印次数，减少纸张浪费。办公场所、会议室使用瓷杯或玻璃杯，办公提倡使用钢笔或更换笔芯循环利用。按标准购买绿色办公用品、合理使用公务用车。</w:t>
      </w:r>
    </w:p>
    <w:p>
      <w:pPr>
        <w:keepNext/>
        <w:keepLines/>
        <w:spacing w:line="600" w:lineRule="exact"/>
        <w:ind w:firstLine="630" w:firstLineChars="196"/>
        <w:jc w:val="left"/>
        <w:outlineLvl w:val="1"/>
        <w:rPr>
          <w:rFonts w:eastAsia="楷体_GB2312"/>
          <w:b/>
          <w:bCs/>
          <w:sz w:val="32"/>
          <w:szCs w:val="32"/>
        </w:rPr>
      </w:pPr>
      <w:bookmarkStart w:id="53" w:name="_Toc75857508"/>
      <w:bookmarkStart w:id="54" w:name="_Toc29698"/>
      <w:bookmarkStart w:id="55" w:name="_Toc87116142"/>
      <w:r>
        <w:rPr>
          <w:rFonts w:hint="eastAsia" w:eastAsia="楷体_GB2312" w:cs="宋体"/>
          <w:b/>
          <w:bCs/>
          <w:sz w:val="32"/>
          <w:szCs w:val="32"/>
        </w:rPr>
        <w:t>（四）积极促成碳达峰</w:t>
      </w:r>
      <w:bookmarkEnd w:id="53"/>
      <w:r>
        <w:rPr>
          <w:rFonts w:hint="eastAsia" w:eastAsia="楷体_GB2312" w:cs="宋体"/>
          <w:b/>
          <w:bCs/>
          <w:sz w:val="32"/>
          <w:szCs w:val="32"/>
        </w:rPr>
        <w:t>碳中和</w:t>
      </w:r>
      <w:bookmarkEnd w:id="54"/>
      <w:bookmarkEnd w:id="55"/>
    </w:p>
    <w:p>
      <w:pPr>
        <w:spacing w:line="600" w:lineRule="exact"/>
        <w:ind w:firstLine="643" w:firstLineChars="200"/>
        <w:rPr>
          <w:rFonts w:eastAsia="仿宋_GB2312"/>
          <w:sz w:val="32"/>
          <w:szCs w:val="32"/>
          <w:lang w:val="zh-CN"/>
        </w:rPr>
      </w:pPr>
      <w:r>
        <w:rPr>
          <w:rFonts w:eastAsia="仿宋_GB2312"/>
          <w:b/>
          <w:bCs/>
          <w:sz w:val="32"/>
          <w:szCs w:val="32"/>
        </w:rPr>
        <w:t>1</w:t>
      </w:r>
      <w:r>
        <w:rPr>
          <w:rFonts w:hint="eastAsia" w:eastAsia="仿宋_GB2312"/>
          <w:b/>
          <w:bCs/>
          <w:sz w:val="32"/>
          <w:szCs w:val="32"/>
        </w:rPr>
        <w:t>.明确碳达峰总体思路。</w:t>
      </w:r>
      <w:r>
        <w:rPr>
          <w:rFonts w:hint="eastAsia" w:eastAsia="仿宋_GB2312"/>
          <w:sz w:val="32"/>
          <w:szCs w:val="32"/>
          <w:lang w:val="zh-CN"/>
        </w:rPr>
        <w:t>科学制定宁乡市碳达峰行动计划，明确达峰路线图、达峰目标任务分解机责任落实方案，分行业、分目标、分步骤有序完成达峰任务。以创新驱动为引领，抢抓机遇培育新兴市场主体，促进产业结构优化升级，发展壮大一批低碳、净零碳龙头企业。深化源头治理，建立绿色技术创新体系，全面培育推动环保产业发展，推动全市实现碳达峰碳中和。</w:t>
      </w:r>
    </w:p>
    <w:p>
      <w:pPr>
        <w:spacing w:line="600" w:lineRule="exact"/>
        <w:ind w:firstLine="643" w:firstLineChars="200"/>
        <w:rPr>
          <w:rFonts w:eastAsia="仿宋_GB2312"/>
          <w:sz w:val="32"/>
          <w:szCs w:val="32"/>
          <w:lang w:val="zh-CN"/>
        </w:rPr>
      </w:pPr>
      <w:r>
        <w:rPr>
          <w:rFonts w:eastAsia="仿宋_GB2312"/>
          <w:b/>
          <w:bCs/>
          <w:sz w:val="32"/>
          <w:szCs w:val="32"/>
        </w:rPr>
        <w:t>2</w:t>
      </w:r>
      <w:r>
        <w:rPr>
          <w:rFonts w:hint="eastAsia" w:eastAsia="仿宋_GB2312"/>
          <w:b/>
          <w:bCs/>
          <w:sz w:val="32"/>
          <w:szCs w:val="32"/>
        </w:rPr>
        <w:t>.全力推进碳达峰行动。</w:t>
      </w:r>
      <w:r>
        <w:rPr>
          <w:rFonts w:hint="eastAsia" w:eastAsia="仿宋_GB2312"/>
          <w:sz w:val="32"/>
          <w:szCs w:val="32"/>
          <w:lang w:val="zh-CN"/>
        </w:rPr>
        <w:t>加快能源结构调整优化，推行清洁生产，推进循环发展，明确重点行业的达峰目标、路线图、行动方案和配套措施，积极参与碳排放权交易市场的建设和运行。坚决遏制“两高”项目盲目上马，强化落实“减污降碳”。推动重点用能单位加强节能管理，支持重点和新兴领域的节能改造升级。推动规模农业和规模种养殖业的规范化和标准化，控制农业温室气体排放，加强污水处理厂和垃圾填埋场甲烷排放控制。大力扶持低碳企业，引导低碳消费，鼓励社会生产和使用绿色标识产品、能效标识产品、节能节水认证产品和环境标志产品。</w:t>
      </w:r>
    </w:p>
    <w:p>
      <w:pPr>
        <w:spacing w:line="600" w:lineRule="exact"/>
        <w:ind w:firstLine="643" w:firstLineChars="200"/>
        <w:rPr>
          <w:rFonts w:eastAsia="仿宋_GB2312"/>
          <w:sz w:val="32"/>
          <w:szCs w:val="32"/>
          <w:lang w:val="zh-CN"/>
        </w:rPr>
      </w:pPr>
      <w:r>
        <w:rPr>
          <w:rFonts w:eastAsia="仿宋_GB2312"/>
          <w:b/>
          <w:bCs/>
          <w:sz w:val="32"/>
          <w:szCs w:val="32"/>
        </w:rPr>
        <w:t>3</w:t>
      </w:r>
      <w:r>
        <w:rPr>
          <w:rFonts w:hint="eastAsia" w:eastAsia="仿宋_GB2312"/>
          <w:b/>
          <w:bCs/>
          <w:sz w:val="32"/>
          <w:szCs w:val="32"/>
        </w:rPr>
        <w:t>.推动实现减污降碳协同效应。</w:t>
      </w:r>
      <w:r>
        <w:rPr>
          <w:rFonts w:hint="eastAsia" w:eastAsia="仿宋_GB2312"/>
          <w:sz w:val="32"/>
          <w:szCs w:val="32"/>
          <w:lang w:val="zh-CN"/>
        </w:rPr>
        <w:t>优先选择化石能源替代、原料工艺优化、产业结构升级等源头治理措施，严格控制高耗能、高排放项目建设。建立自下而上的温室气体排放数据统计、核算和管理体系，构建温室气体协同治理体系。加大交通运输结构优化调整力度，推广节能和新能源车辆。加强畜禽养殖废物综合利用和污染治理，强化污水、垃圾等集中处置设施环境管理，协同控制甲烷、氧化亚氮等温室气体。强化技术在大气治理中的作用，将温室气体控制的协同效应最大化。加大环境违法执法力度，加强重点污染源防治，实施精细化、标准化、信息化管理，建立覆盖所有固定污染源的企业排放许可证制度，推动重点污染企业技术升级改造，实现绿色生产。强化技术在大气治理中的作用，将温室气体控制的协同效应最大化。</w:t>
      </w:r>
    </w:p>
    <w:p>
      <w:pPr>
        <w:spacing w:line="600" w:lineRule="exact"/>
        <w:ind w:firstLine="643" w:firstLineChars="200"/>
        <w:rPr>
          <w:rFonts w:eastAsia="仿宋_GB2312"/>
          <w:sz w:val="32"/>
          <w:szCs w:val="32"/>
          <w:lang w:val="zh-CN"/>
        </w:rPr>
      </w:pPr>
      <w:r>
        <w:rPr>
          <w:rFonts w:eastAsia="仿宋_GB2312"/>
          <w:b/>
          <w:bCs/>
          <w:sz w:val="32"/>
          <w:szCs w:val="32"/>
        </w:rPr>
        <w:t>4</w:t>
      </w:r>
      <w:r>
        <w:rPr>
          <w:rFonts w:hint="eastAsia" w:eastAsia="仿宋_GB2312"/>
          <w:b/>
          <w:bCs/>
          <w:sz w:val="32"/>
          <w:szCs w:val="32"/>
        </w:rPr>
        <w:t>.开展试点示范项目。</w:t>
      </w:r>
      <w:r>
        <w:rPr>
          <w:rFonts w:hint="eastAsia" w:eastAsia="仿宋_GB2312"/>
          <w:sz w:val="32"/>
          <w:szCs w:val="32"/>
          <w:lang w:val="zh-CN"/>
        </w:rPr>
        <w:t>按照因地制宜、探索创新的原则，在条件成熟的区域和领域分批次先行试点，以城镇、园区、校园、社区、商业等区域为突破口，逐步扩大试点范围，多领域多层次推动“近零碳”发展。对于纳入试点范围的工程项目，政府给予一定资金支持；同时，以试点区域为载体，着力培育节能环保、新能源装备、低碳认证、碳资产管理等新业态，吸引先进科技、人才和经营模式，形成绿色低碳产业集群。</w:t>
      </w:r>
    </w:p>
    <w:bookmarkEnd w:id="40"/>
    <w:bookmarkEnd w:id="41"/>
    <w:p>
      <w:pPr>
        <w:keepNext/>
        <w:keepLines/>
        <w:spacing w:before="312" w:beforeLines="100" w:after="312" w:afterLines="100" w:line="600" w:lineRule="exact"/>
        <w:ind w:firstLine="630" w:firstLineChars="196"/>
        <w:outlineLvl w:val="0"/>
        <w:rPr>
          <w:rFonts w:eastAsia="黑体"/>
          <w:b/>
          <w:bCs/>
          <w:kern w:val="44"/>
          <w:sz w:val="32"/>
          <w:szCs w:val="44"/>
        </w:rPr>
      </w:pPr>
      <w:bookmarkStart w:id="56" w:name="_Toc87116143"/>
      <w:bookmarkStart w:id="57" w:name="_Toc17714"/>
      <w:bookmarkStart w:id="58" w:name="_Toc75857516"/>
      <w:bookmarkStart w:id="59" w:name="_Toc31373"/>
      <w:bookmarkStart w:id="60" w:name="OLE_LINK11"/>
      <w:bookmarkStart w:id="61" w:name="OLE_LINK10"/>
      <w:bookmarkStart w:id="62" w:name="_Toc13382"/>
      <w:bookmarkStart w:id="63" w:name="_Toc11763"/>
      <w:bookmarkStart w:id="64" w:name="_Toc31079"/>
      <w:bookmarkStart w:id="65" w:name="_Toc20859"/>
      <w:bookmarkStart w:id="66" w:name="_Toc59701020"/>
      <w:bookmarkStart w:id="67" w:name="_Toc23199"/>
      <w:bookmarkStart w:id="68" w:name="_Toc12529"/>
      <w:bookmarkStart w:id="69" w:name="_Toc16778"/>
      <w:bookmarkStart w:id="70" w:name="_Toc23777"/>
      <w:bookmarkStart w:id="71" w:name="_Toc23724"/>
      <w:bookmarkStart w:id="72" w:name="_Toc28837"/>
      <w:bookmarkStart w:id="73" w:name="_Toc29808"/>
      <w:bookmarkStart w:id="74" w:name="_Toc59608169"/>
      <w:r>
        <w:rPr>
          <w:rFonts w:hint="eastAsia" w:eastAsia="黑体"/>
          <w:b/>
          <w:bCs/>
          <w:kern w:val="44"/>
          <w:sz w:val="32"/>
          <w:szCs w:val="44"/>
        </w:rPr>
        <w:t>四、强化生态空间管控，加强生态系统保护与修复</w:t>
      </w:r>
      <w:bookmarkEnd w:id="56"/>
    </w:p>
    <w:p>
      <w:pPr>
        <w:keepNext/>
        <w:keepLines/>
        <w:spacing w:line="600" w:lineRule="exact"/>
        <w:ind w:firstLine="630" w:firstLineChars="196"/>
        <w:jc w:val="left"/>
        <w:outlineLvl w:val="1"/>
        <w:rPr>
          <w:rFonts w:eastAsia="楷体_GB2312"/>
          <w:b/>
          <w:bCs/>
          <w:sz w:val="32"/>
          <w:szCs w:val="32"/>
        </w:rPr>
      </w:pPr>
      <w:bookmarkStart w:id="75" w:name="_Toc87116144"/>
      <w:bookmarkStart w:id="76" w:name="_Toc75857510"/>
      <w:bookmarkStart w:id="77" w:name="_Toc19205"/>
      <w:bookmarkStart w:id="78" w:name="_Toc27794"/>
      <w:r>
        <w:rPr>
          <w:rFonts w:hint="eastAsia" w:eastAsia="楷体_GB2312"/>
          <w:b/>
          <w:bCs/>
          <w:sz w:val="32"/>
          <w:szCs w:val="32"/>
        </w:rPr>
        <w:t>（一）强化“三线一单”管控</w:t>
      </w:r>
      <w:bookmarkEnd w:id="75"/>
      <w:bookmarkEnd w:id="76"/>
      <w:bookmarkEnd w:id="77"/>
      <w:bookmarkEnd w:id="78"/>
      <w:r>
        <w:rPr>
          <w:rFonts w:hint="eastAsia" w:eastAsia="楷体_GB2312"/>
          <w:b/>
          <w:bCs/>
          <w:sz w:val="32"/>
          <w:szCs w:val="32"/>
        </w:rPr>
        <w:t xml:space="preserve"> </w:t>
      </w:r>
    </w:p>
    <w:p>
      <w:pPr>
        <w:spacing w:line="600" w:lineRule="exact"/>
        <w:ind w:firstLine="630" w:firstLineChars="196"/>
        <w:rPr>
          <w:rFonts w:eastAsia="仿宋_GB2312"/>
          <w:sz w:val="32"/>
          <w:szCs w:val="32"/>
          <w:lang w:val="zh-CN"/>
        </w:rPr>
      </w:pPr>
      <w:r>
        <w:rPr>
          <w:rFonts w:eastAsia="仿宋_GB2312"/>
          <w:b/>
          <w:bCs/>
          <w:sz w:val="32"/>
          <w:szCs w:val="32"/>
          <w:lang w:val="zh-CN"/>
        </w:rPr>
        <w:t>1</w:t>
      </w:r>
      <w:r>
        <w:rPr>
          <w:rFonts w:hint="eastAsia" w:eastAsia="仿宋_GB2312"/>
          <w:b/>
          <w:bCs/>
          <w:sz w:val="32"/>
          <w:szCs w:val="32"/>
        </w:rPr>
        <w:t>.</w:t>
      </w:r>
      <w:r>
        <w:rPr>
          <w:rFonts w:hint="eastAsia" w:eastAsia="仿宋_GB2312"/>
          <w:b/>
          <w:bCs/>
          <w:sz w:val="32"/>
          <w:szCs w:val="32"/>
          <w:lang w:val="zh-CN"/>
        </w:rPr>
        <w:t>落实主体功能区战略。</w:t>
      </w:r>
      <w:r>
        <w:rPr>
          <w:rFonts w:hint="eastAsia" w:eastAsia="仿宋_GB2312"/>
          <w:sz w:val="32"/>
          <w:szCs w:val="32"/>
          <w:lang w:val="zh-CN"/>
        </w:rPr>
        <w:t>坚持保护优先，深化土地资源集约利用，实施国土空间资源的差异化配置，合理划分重点生态功能区、农产品主产区、城市化发展区，推动形成以主体功能区战略为基础的国土空间开发保护格局，保护基本农田和生态空间。推动沩山乡、巷子口镇、沙田乡等生态功能区以保护生态环境、提供生态产品为发展重点；推动双江口镇、老粮仓镇、喻家坳乡、流沙河镇、青山桥镇等农产品主产区实施农业面源防控和农用地风险管控；推动玉潭街道、白马桥街道、历经铺街道、城郊街道、金洲镇等城市化发展区集约绿色低碳发展，推进城市生态修复，建设韧性、绿色、低碳、海绵城市。</w:t>
      </w:r>
    </w:p>
    <w:p>
      <w:pPr>
        <w:spacing w:line="600" w:lineRule="exact"/>
        <w:ind w:firstLine="643" w:firstLineChars="200"/>
        <w:rPr>
          <w:rFonts w:eastAsia="仿宋_GB2312"/>
          <w:sz w:val="32"/>
          <w:szCs w:val="32"/>
          <w:lang w:val="zh-CN"/>
        </w:rPr>
      </w:pPr>
      <w:r>
        <w:rPr>
          <w:rFonts w:eastAsia="仿宋_GB2312"/>
          <w:b/>
          <w:bCs/>
          <w:sz w:val="32"/>
          <w:szCs w:val="32"/>
          <w:lang w:val="zh-CN"/>
        </w:rPr>
        <w:t>2</w:t>
      </w:r>
      <w:r>
        <w:rPr>
          <w:rFonts w:hint="eastAsia" w:eastAsia="仿宋_GB2312"/>
          <w:b/>
          <w:bCs/>
          <w:sz w:val="32"/>
          <w:szCs w:val="32"/>
        </w:rPr>
        <w:t>.</w:t>
      </w:r>
      <w:r>
        <w:rPr>
          <w:rFonts w:hint="eastAsia" w:eastAsia="仿宋_GB2312"/>
          <w:b/>
          <w:bCs/>
          <w:sz w:val="32"/>
          <w:szCs w:val="32"/>
          <w:lang w:val="zh-CN"/>
        </w:rPr>
        <w:t>构建生态环境分区管控体系。</w:t>
      </w:r>
      <w:r>
        <w:rPr>
          <w:rFonts w:hint="eastAsia" w:eastAsia="仿宋_GB2312"/>
          <w:sz w:val="32"/>
          <w:szCs w:val="32"/>
        </w:rPr>
        <w:t>衔接“三线一单”成果，采取相应的落地保障措施，加快建立以“三线一单”为核心的生态环境分区管控体系，促进经济社会高质量发展。建立健全市</w:t>
      </w:r>
      <w:r>
        <w:rPr>
          <w:rFonts w:eastAsia="仿宋_GB2312"/>
          <w:sz w:val="32"/>
          <w:szCs w:val="32"/>
        </w:rPr>
        <w:t>“</w:t>
      </w:r>
      <w:r>
        <w:rPr>
          <w:rFonts w:hint="eastAsia" w:eastAsia="仿宋_GB2312"/>
          <w:sz w:val="32"/>
          <w:szCs w:val="32"/>
        </w:rPr>
        <w:t>三线一单</w:t>
      </w:r>
      <w:r>
        <w:rPr>
          <w:rFonts w:eastAsia="仿宋_GB2312"/>
          <w:sz w:val="32"/>
          <w:szCs w:val="32"/>
        </w:rPr>
        <w:t>”</w:t>
      </w:r>
      <w:r>
        <w:rPr>
          <w:rFonts w:hint="eastAsia" w:eastAsia="仿宋_GB2312"/>
          <w:sz w:val="32"/>
          <w:szCs w:val="32"/>
        </w:rPr>
        <w:t>生态环境分区管控实施、评估、调整更新的工作机制，强化实施成效评估结果应用，适时进行动态更新。</w:t>
      </w:r>
      <w:r>
        <w:rPr>
          <w:rFonts w:hint="eastAsia" w:eastAsia="仿宋_GB2312"/>
          <w:sz w:val="32"/>
          <w:szCs w:val="32"/>
          <w:lang w:val="zh-CN"/>
        </w:rPr>
        <w:t>建立较为完善的生态环境分区管控体系，产业布局和结构进一步优化升级，全市经济社会与生态环境保护协调发展的格局基本形成。</w:t>
      </w:r>
      <w:r>
        <w:rPr>
          <w:rFonts w:hint="eastAsia" w:eastAsia="仿宋_GB2312"/>
          <w:sz w:val="32"/>
          <w:szCs w:val="32"/>
        </w:rPr>
        <w:t>根据长沙市“三线一单”生态环境分区管控方案，宁乡市共包括优先保单元1个：涉及沩山乡、巷子口镇、沙田等乡镇（街道）；重点管控单元2个：涉及玉潭街道、白马桥街道、历经铺街道、城郊街道、菁华铺乡（部分）、金洲镇等乡镇（街道）；一般管控单元6个：涉及夏铎铺镇、煤炭坝镇、坝塘镇、双凫铺镇、回龙铺镇、大成桥镇、资福镇、菁华铺乡、喻家坳乡、历经铺街道（部分）、道林镇、花明楼镇、东湖塘镇、大屯营镇、老粮仓镇、灰汤镇、双江口镇、流沙河镇、</w:t>
      </w:r>
      <w:r>
        <w:rPr>
          <w:rFonts w:eastAsia="仿宋_GB2312"/>
          <w:sz w:val="32"/>
          <w:szCs w:val="32"/>
        </w:rPr>
        <w:t>龙田镇</w:t>
      </w:r>
      <w:r>
        <w:rPr>
          <w:rFonts w:hint="eastAsia" w:eastAsia="仿宋_GB2312"/>
          <w:sz w:val="32"/>
          <w:szCs w:val="32"/>
        </w:rPr>
        <w:t>、</w:t>
      </w:r>
      <w:r>
        <w:rPr>
          <w:rFonts w:eastAsia="仿宋_GB2312"/>
          <w:sz w:val="32"/>
          <w:szCs w:val="32"/>
        </w:rPr>
        <w:t>青山桥镇</w:t>
      </w:r>
      <w:r>
        <w:rPr>
          <w:rFonts w:hint="eastAsia" w:eastAsia="仿宋_GB2312"/>
          <w:sz w:val="32"/>
          <w:szCs w:val="32"/>
        </w:rPr>
        <w:t>、横市镇、</w:t>
      </w:r>
      <w:r>
        <w:rPr>
          <w:rFonts w:eastAsia="仿宋_GB2312"/>
          <w:sz w:val="32"/>
          <w:szCs w:val="32"/>
        </w:rPr>
        <w:t>黄材镇</w:t>
      </w:r>
      <w:r>
        <w:rPr>
          <w:rFonts w:hint="eastAsia" w:eastAsia="仿宋_GB2312"/>
          <w:sz w:val="32"/>
          <w:szCs w:val="32"/>
        </w:rPr>
        <w:t>等乡镇（街道）。优先保护单元以生态保护为导向，依法禁止或限制大规模、高强度的开发建设活动，确保生态环境功能不降低；重点管控单元以产业高质量发展和环境保护协调为主，优化空间布局，促进产业转型升级改造；一般管控单元以经济社会可持续发展为导向，生态环境保护与适度开发相结合，开发建设应落实现行生态环境保护基本要求。</w:t>
      </w:r>
    </w:p>
    <w:p>
      <w:pPr>
        <w:spacing w:line="600" w:lineRule="exact"/>
        <w:ind w:firstLine="630" w:firstLineChars="196"/>
        <w:rPr>
          <w:rFonts w:eastAsia="仿宋_GB2312"/>
          <w:sz w:val="32"/>
          <w:szCs w:val="32"/>
        </w:rPr>
      </w:pPr>
      <w:r>
        <w:rPr>
          <w:rFonts w:eastAsia="仿宋_GB2312"/>
          <w:b/>
          <w:bCs/>
          <w:sz w:val="32"/>
          <w:szCs w:val="32"/>
        </w:rPr>
        <w:t>3</w:t>
      </w:r>
      <w:r>
        <w:rPr>
          <w:rFonts w:hint="eastAsia" w:eastAsia="仿宋_GB2312"/>
          <w:b/>
          <w:bCs/>
          <w:sz w:val="32"/>
          <w:szCs w:val="32"/>
        </w:rPr>
        <w:t>.</w:t>
      </w:r>
      <w:r>
        <w:rPr>
          <w:rFonts w:hint="eastAsia" w:eastAsia="仿宋_GB2312"/>
          <w:b/>
          <w:bCs/>
          <w:kern w:val="0"/>
          <w:sz w:val="32"/>
          <w:szCs w:val="32"/>
        </w:rPr>
        <w:t>强化约束引导作用。</w:t>
      </w:r>
      <w:bookmarkStart w:id="79" w:name="_Toc75857511"/>
      <w:bookmarkStart w:id="80" w:name="_Toc20710"/>
      <w:bookmarkStart w:id="81" w:name="_Toc31596"/>
      <w:r>
        <w:rPr>
          <w:rFonts w:hint="eastAsia" w:eastAsia="仿宋_GB2312"/>
          <w:sz w:val="32"/>
          <w:szCs w:val="32"/>
        </w:rPr>
        <w:t>将落实到具体空间的生态、水、大气、土壤、资源利用等红线、底线和上线要求作为宁乡市国土空间规划编制的基础，确保“三线一单”生态环境分区管控要求与国土空间用途管制相衔接。资源开发、产业布局和结构调整、城镇建设、重大项目选址以“三线一单”确定的环境管控单元及生态环境准入清单作为重要依据，强化“三线一单”成果在生态、水、大气、土壤、固体废物、排污许可、环保督察等环境管理中的应用。在功能受损的优先保护单元（如矿山等区域），优先开展生态保护修复活动，恢复生态系统服务功能；在重点管控单元有针对性地加强污染物排放控制和环境风险防控，重点解决生态环境突出问题。</w:t>
      </w:r>
    </w:p>
    <w:p>
      <w:pPr>
        <w:keepNext/>
        <w:keepLines/>
        <w:spacing w:line="600" w:lineRule="exact"/>
        <w:ind w:firstLine="630" w:firstLineChars="196"/>
        <w:jc w:val="left"/>
        <w:outlineLvl w:val="1"/>
        <w:rPr>
          <w:rFonts w:eastAsia="楷体_GB2312"/>
          <w:b/>
          <w:bCs/>
          <w:sz w:val="32"/>
          <w:szCs w:val="32"/>
        </w:rPr>
      </w:pPr>
      <w:bookmarkStart w:id="82" w:name="_Toc87116145"/>
      <w:r>
        <w:rPr>
          <w:rFonts w:hint="eastAsia" w:eastAsia="楷体_GB2312"/>
          <w:b/>
          <w:bCs/>
          <w:sz w:val="32"/>
          <w:szCs w:val="32"/>
        </w:rPr>
        <w:t>（二）优化生态空间格局</w:t>
      </w:r>
      <w:bookmarkEnd w:id="79"/>
      <w:bookmarkEnd w:id="80"/>
      <w:bookmarkEnd w:id="81"/>
      <w:bookmarkEnd w:id="82"/>
    </w:p>
    <w:p>
      <w:pPr>
        <w:spacing w:line="600" w:lineRule="exact"/>
        <w:ind w:firstLine="627" w:firstLineChars="196"/>
        <w:rPr>
          <w:rFonts w:eastAsia="仿宋_GB2312"/>
          <w:sz w:val="32"/>
          <w:szCs w:val="32"/>
          <w:lang w:val="zh-CN"/>
        </w:rPr>
      </w:pPr>
      <w:r>
        <w:rPr>
          <w:rFonts w:hint="eastAsia" w:eastAsia="仿宋_GB2312"/>
          <w:sz w:val="32"/>
          <w:szCs w:val="32"/>
          <w:lang w:val="zh-CN"/>
        </w:rPr>
        <w:t>以沩江、靳江河流域生态建设为要务，西部山区生态保护为根本，以城市园林绿化、乡镇环境整治为重点，构建完善“二廊、二脉、三区、四带、五湖”的生态格局。“二廊”即沩江流域、靳江河流域生态走廊。“二脉”即以沩山为代表的雪峰山余脉和以稽茄山为代表的衡山余脉。“三区”即沩山—黄材、灰汤—流沙河（青山桥）、花明楼—夏铎铺生态片区。“二脉”和“三区”对维护宁乡市生物多样性以及水源涵养、水土保持等重要生态功能具有十分重要的作用，是保障生态安全的基础。“四带”即以金洲大道、岳宁大道为主轴对接长沙的城市绿化带、以玉潭—沩山为主线的交通绿化带、以长韶娄高速为主轴的旅游线路绿化带、以益娄衡高速为主轴的区域性交通绿化带。“五湖”即青羊湖、紫龙湖、金洲湖、闸坝湖、香山冲水库，采取植物措施与工程措施相结合的方式，建立生态防护带。同时，以改善生态环境为最终目的，发展生态旅游，建设沿湖生态经济带。</w:t>
      </w:r>
    </w:p>
    <w:p>
      <w:pPr>
        <w:keepNext/>
        <w:keepLines/>
        <w:spacing w:line="600" w:lineRule="exact"/>
        <w:ind w:firstLine="630" w:firstLineChars="196"/>
        <w:jc w:val="left"/>
        <w:outlineLvl w:val="1"/>
        <w:rPr>
          <w:rFonts w:eastAsia="楷体_GB2312"/>
          <w:b/>
          <w:bCs/>
          <w:sz w:val="32"/>
          <w:szCs w:val="32"/>
        </w:rPr>
      </w:pPr>
      <w:bookmarkStart w:id="83" w:name="_Toc11870"/>
      <w:bookmarkStart w:id="84" w:name="_Toc75857512"/>
      <w:bookmarkStart w:id="85" w:name="_Toc23153"/>
      <w:bookmarkStart w:id="86" w:name="_Toc87116146"/>
      <w:r>
        <w:rPr>
          <w:rFonts w:hint="eastAsia" w:eastAsia="楷体_GB2312"/>
          <w:b/>
          <w:bCs/>
          <w:sz w:val="32"/>
          <w:szCs w:val="32"/>
        </w:rPr>
        <w:t>（三）加强生态系统保护与修复</w:t>
      </w:r>
      <w:bookmarkEnd w:id="83"/>
      <w:bookmarkEnd w:id="84"/>
      <w:bookmarkEnd w:id="85"/>
      <w:bookmarkEnd w:id="86"/>
    </w:p>
    <w:p>
      <w:pPr>
        <w:spacing w:line="600" w:lineRule="exact"/>
        <w:ind w:firstLine="560"/>
        <w:rPr>
          <w:rFonts w:eastAsia="仿宋_GB2312"/>
          <w:kern w:val="0"/>
          <w:sz w:val="32"/>
          <w:szCs w:val="32"/>
        </w:rPr>
      </w:pPr>
      <w:r>
        <w:rPr>
          <w:rFonts w:eastAsia="仿宋_GB2312"/>
          <w:b/>
          <w:bCs/>
          <w:kern w:val="0"/>
          <w:sz w:val="32"/>
          <w:szCs w:val="32"/>
          <w:lang w:val="zh-CN"/>
        </w:rPr>
        <w:t>1</w:t>
      </w:r>
      <w:r>
        <w:rPr>
          <w:rFonts w:hint="eastAsia" w:eastAsia="仿宋_GB2312"/>
          <w:b/>
          <w:bCs/>
          <w:kern w:val="0"/>
          <w:sz w:val="32"/>
          <w:szCs w:val="32"/>
        </w:rPr>
        <w:t>.</w:t>
      </w:r>
      <w:r>
        <w:rPr>
          <w:rFonts w:hint="eastAsia" w:eastAsia="仿宋_GB2312"/>
          <w:b/>
          <w:bCs/>
          <w:kern w:val="0"/>
          <w:sz w:val="32"/>
          <w:szCs w:val="32"/>
          <w:lang w:val="zh-CN"/>
        </w:rPr>
        <w:t>建设自然保护地体系。</w:t>
      </w:r>
      <w:r>
        <w:rPr>
          <w:rFonts w:hint="eastAsia" w:eastAsia="仿宋_GB2312"/>
          <w:kern w:val="0"/>
          <w:sz w:val="32"/>
          <w:szCs w:val="32"/>
          <w:lang w:val="zh-CN"/>
        </w:rPr>
        <w:t>不断提</w:t>
      </w:r>
      <w:r>
        <w:rPr>
          <w:rFonts w:hint="eastAsia" w:eastAsia="仿宋_GB2312"/>
          <w:kern w:val="0"/>
          <w:sz w:val="32"/>
          <w:szCs w:val="32"/>
        </w:rPr>
        <w:t>升各类自然保护地监管的法治化、制度化、规范化水平</w:t>
      </w:r>
      <w:r>
        <w:rPr>
          <w:rFonts w:hint="eastAsia" w:eastAsia="仿宋_GB2312"/>
          <w:kern w:val="0"/>
          <w:sz w:val="32"/>
          <w:szCs w:val="32"/>
          <w:lang w:val="zh-CN"/>
        </w:rPr>
        <w:t>，初步建成较为完善的自然保护地体系</w:t>
      </w:r>
      <w:r>
        <w:rPr>
          <w:rFonts w:hint="eastAsia" w:eastAsia="仿宋_GB2312"/>
          <w:kern w:val="0"/>
          <w:sz w:val="32"/>
          <w:szCs w:val="32"/>
        </w:rPr>
        <w:t>。加强生态保护红线监督管理，</w:t>
      </w:r>
      <w:r>
        <w:rPr>
          <w:rFonts w:hint="eastAsia" w:eastAsia="仿宋_GB2312"/>
          <w:bCs/>
          <w:sz w:val="32"/>
          <w:szCs w:val="32"/>
          <w:lang w:val="zh-CN"/>
        </w:rPr>
        <w:t>开展“绿盾”自然保护地强化监督工作，加强自然保护地监督管理，对于明令禁止的违法违规行为严查严办</w:t>
      </w:r>
      <w:r>
        <w:rPr>
          <w:rFonts w:hint="eastAsia" w:eastAsia="仿宋_GB2312"/>
          <w:kern w:val="0"/>
          <w:sz w:val="32"/>
          <w:szCs w:val="32"/>
        </w:rPr>
        <w:t>。推行森林河流湖泊休养生息，健全耕地休耕轮作制度。</w:t>
      </w:r>
      <w:r>
        <w:rPr>
          <w:rFonts w:hint="eastAsia" w:eastAsia="仿宋_GB2312"/>
          <w:bCs/>
          <w:sz w:val="32"/>
          <w:szCs w:val="32"/>
          <w:lang w:val="zh-CN"/>
        </w:rPr>
        <w:t>整体推进森林生态系统保护，维护森林生态系统生物多样性、水源涵养、水土保持等重要生态功能。加大湿地保护工作力度，推进湿地公园的生态护岸、人工湿地、生态疏浚、生态富氧、生态浮岛、河湖连通等功能建设。</w:t>
      </w:r>
    </w:p>
    <w:p>
      <w:pPr>
        <w:spacing w:line="600" w:lineRule="exact"/>
        <w:ind w:firstLine="560"/>
      </w:pPr>
      <w:r>
        <w:rPr>
          <w:rFonts w:eastAsia="仿宋_GB2312"/>
          <w:b/>
          <w:bCs/>
          <w:sz w:val="32"/>
          <w:szCs w:val="32"/>
        </w:rPr>
        <w:t>2</w:t>
      </w:r>
      <w:r>
        <w:rPr>
          <w:rFonts w:hint="eastAsia" w:eastAsia="仿宋_GB2312"/>
          <w:b/>
          <w:bCs/>
          <w:sz w:val="32"/>
          <w:szCs w:val="32"/>
        </w:rPr>
        <w:t>.</w:t>
      </w:r>
      <w:r>
        <w:rPr>
          <w:rFonts w:hint="eastAsia" w:eastAsia="仿宋_GB2312"/>
          <w:b/>
          <w:bCs/>
          <w:kern w:val="0"/>
          <w:sz w:val="32"/>
          <w:szCs w:val="32"/>
          <w:lang w:val="zh-CN"/>
        </w:rPr>
        <w:t>加强</w:t>
      </w:r>
      <w:r>
        <w:rPr>
          <w:rFonts w:hint="eastAsia" w:eastAsia="仿宋_GB2312"/>
          <w:b/>
          <w:bCs/>
          <w:kern w:val="0"/>
          <w:sz w:val="32"/>
          <w:szCs w:val="32"/>
        </w:rPr>
        <w:t>生物多样性</w:t>
      </w:r>
      <w:r>
        <w:rPr>
          <w:rFonts w:hint="eastAsia" w:eastAsia="仿宋_GB2312"/>
          <w:b/>
          <w:bCs/>
          <w:kern w:val="0"/>
          <w:sz w:val="32"/>
          <w:szCs w:val="32"/>
          <w:lang w:val="zh-CN"/>
        </w:rPr>
        <w:t>保护。</w:t>
      </w:r>
      <w:r>
        <w:rPr>
          <w:rFonts w:hint="eastAsia" w:eastAsia="仿宋_GB2312"/>
          <w:kern w:val="0"/>
          <w:sz w:val="32"/>
          <w:szCs w:val="32"/>
          <w:lang w:val="zh-CN"/>
        </w:rPr>
        <w:t>完善生物多样性保护工作机制，推动修订生物多样性保护战略与行动计划及规划，实施生物多样性保护重点工程。积极开展生物多样性状况本底调查与监测，</w:t>
      </w:r>
      <w:r>
        <w:rPr>
          <w:rFonts w:hint="eastAsia" w:eastAsia="仿宋_GB2312"/>
          <w:kern w:val="0"/>
          <w:sz w:val="32"/>
          <w:szCs w:val="32"/>
        </w:rPr>
        <w:t>进行</w:t>
      </w:r>
      <w:r>
        <w:rPr>
          <w:rFonts w:hint="eastAsia" w:eastAsia="仿宋_GB2312"/>
          <w:kern w:val="0"/>
          <w:sz w:val="32"/>
          <w:szCs w:val="32"/>
          <w:lang w:val="zh-CN"/>
        </w:rPr>
        <w:t>区域生物物种资源调查、建档和研究，建立生物资源数据库和基因库，加强生物多样性大数据集成分析、信息共享和综合应用。加强保护国际关注物种和国家重点保护物种及其栖息地，保护宁乡市特有稀有物种、关键物种及其栖息地。推进遗传资源保护与管理，建立生物遗传资源获取与惠益分享监管制度，加强对外合作研究利用的管理和监督。</w:t>
      </w:r>
    </w:p>
    <w:p>
      <w:pPr>
        <w:spacing w:line="600" w:lineRule="exact"/>
        <w:ind w:firstLine="560"/>
        <w:rPr>
          <w:lang w:val="zh-CN"/>
        </w:rPr>
      </w:pPr>
      <w:r>
        <w:rPr>
          <w:rFonts w:eastAsia="仿宋_GB2312"/>
          <w:b/>
          <w:bCs/>
          <w:sz w:val="32"/>
          <w:szCs w:val="32"/>
        </w:rPr>
        <w:t>3</w:t>
      </w:r>
      <w:r>
        <w:rPr>
          <w:rFonts w:hint="eastAsia" w:eastAsia="仿宋_GB2312"/>
          <w:b/>
          <w:bCs/>
          <w:sz w:val="32"/>
          <w:szCs w:val="32"/>
        </w:rPr>
        <w:t>.</w:t>
      </w:r>
      <w:r>
        <w:rPr>
          <w:rFonts w:hint="eastAsia" w:eastAsia="仿宋_GB2312"/>
          <w:b/>
          <w:bCs/>
          <w:kern w:val="0"/>
          <w:sz w:val="32"/>
          <w:szCs w:val="32"/>
          <w:lang w:val="zh-CN"/>
        </w:rPr>
        <w:t>加快</w:t>
      </w:r>
      <w:r>
        <w:rPr>
          <w:rFonts w:hint="eastAsia" w:eastAsia="仿宋_GB2312"/>
          <w:b/>
          <w:bCs/>
          <w:kern w:val="0"/>
          <w:sz w:val="32"/>
          <w:szCs w:val="32"/>
        </w:rPr>
        <w:t>重点</w:t>
      </w:r>
      <w:r>
        <w:rPr>
          <w:rFonts w:hint="eastAsia" w:eastAsia="仿宋_GB2312"/>
          <w:b/>
          <w:bCs/>
          <w:kern w:val="0"/>
          <w:sz w:val="32"/>
          <w:szCs w:val="32"/>
          <w:lang w:val="zh-CN"/>
        </w:rPr>
        <w:t>区域矿山生态修复。</w:t>
      </w:r>
      <w:r>
        <w:rPr>
          <w:rFonts w:hint="eastAsia" w:eastAsia="仿宋_GB2312"/>
          <w:kern w:val="0"/>
          <w:sz w:val="32"/>
          <w:szCs w:val="32"/>
          <w:lang w:val="zh-CN"/>
        </w:rPr>
        <w:t>根据矿山当前存在的主要问题，制定“一矿一策”确定主要修复任务。首先，解决采矿造成的地质灾害隐患；其次，按照“宜林则林、宜灌则灌、宜草则草、突出重点、先易后难、注重实效”的基本原则，持续开展“矿山复绿”行动，恢复土地、林草植被和解决水土污染。鼓励社会资金投入建设矿山公园，发展矿业旅游，探索矿山环境治理与土地开发、旅游、养殖、种植等产业融合发展的新模式。因地制宜开展矿山景点开发、生态休闲农庄、惠民主题公园、立体种植（养殖）基地、大型漂浮光伏电厂等项目，及时总结推广经验，发挥典型示范带动作用，形成可复制可推广的治理新模式。</w:t>
      </w:r>
    </w:p>
    <w:p>
      <w:pPr>
        <w:keepNext/>
        <w:keepLines/>
        <w:spacing w:line="360" w:lineRule="auto"/>
        <w:ind w:firstLine="643" w:firstLineChars="200"/>
        <w:jc w:val="left"/>
        <w:outlineLvl w:val="1"/>
        <w:rPr>
          <w:rFonts w:eastAsia="楷体_GB2312"/>
          <w:b/>
          <w:bCs/>
          <w:sz w:val="32"/>
          <w:szCs w:val="32"/>
        </w:rPr>
      </w:pPr>
      <w:bookmarkStart w:id="87" w:name="_Toc87116147"/>
      <w:bookmarkStart w:id="88" w:name="_Toc72925735"/>
      <w:r>
        <w:rPr>
          <w:rFonts w:hint="eastAsia" w:eastAsia="楷体_GB2312"/>
          <w:b/>
          <w:bCs/>
          <w:sz w:val="32"/>
          <w:szCs w:val="32"/>
        </w:rPr>
        <w:t>（四）开展生态系统保护与修复成效监测评估</w:t>
      </w:r>
      <w:bookmarkEnd w:id="87"/>
      <w:bookmarkEnd w:id="88"/>
    </w:p>
    <w:p>
      <w:pPr>
        <w:spacing w:line="600" w:lineRule="exact"/>
        <w:ind w:firstLine="560"/>
        <w:rPr>
          <w:rFonts w:eastAsia="仿宋_GB2312"/>
          <w:kern w:val="0"/>
          <w:sz w:val="32"/>
          <w:szCs w:val="32"/>
          <w:lang w:val="zh-CN"/>
        </w:rPr>
      </w:pPr>
      <w:r>
        <w:rPr>
          <w:rFonts w:eastAsia="仿宋_GB2312"/>
          <w:b/>
          <w:bCs/>
          <w:kern w:val="0"/>
          <w:sz w:val="32"/>
          <w:szCs w:val="32"/>
        </w:rPr>
        <w:t>1</w:t>
      </w:r>
      <w:r>
        <w:rPr>
          <w:rFonts w:hint="eastAsia" w:eastAsia="仿宋_GB2312"/>
          <w:b/>
          <w:bCs/>
          <w:kern w:val="0"/>
          <w:sz w:val="32"/>
          <w:szCs w:val="32"/>
        </w:rPr>
        <w:t>.</w:t>
      </w:r>
      <w:r>
        <w:rPr>
          <w:rFonts w:hint="eastAsia" w:eastAsia="仿宋_GB2312"/>
          <w:b/>
          <w:bCs/>
          <w:kern w:val="0"/>
          <w:sz w:val="32"/>
          <w:szCs w:val="32"/>
          <w:lang w:val="zh-CN"/>
        </w:rPr>
        <w:t>开展多层次生态质量状况监测评估。</w:t>
      </w:r>
      <w:r>
        <w:rPr>
          <w:rFonts w:hint="eastAsia" w:eastAsia="仿宋_GB2312"/>
          <w:kern w:val="0"/>
          <w:sz w:val="32"/>
          <w:szCs w:val="32"/>
          <w:lang w:val="zh-CN"/>
        </w:rPr>
        <w:t>开展全市、重点流域区域、生态保护红线、自然保护地和市域重点生态功能区五个尺度的生态质量监测评价并向社会公示，全面掌握全市和重点区域生态状况变化及趋势。定期对生态保护红线、市域重点生态功能区、全市生态质量进行监测评估。</w:t>
      </w:r>
    </w:p>
    <w:p>
      <w:pPr>
        <w:spacing w:line="600" w:lineRule="exact"/>
        <w:ind w:firstLine="560"/>
        <w:rPr>
          <w:rFonts w:eastAsia="仿宋"/>
          <w:bCs/>
          <w:sz w:val="28"/>
          <w:lang w:val="zh-CN"/>
        </w:rPr>
      </w:pPr>
      <w:r>
        <w:rPr>
          <w:rFonts w:eastAsia="仿宋_GB2312"/>
          <w:b/>
          <w:bCs/>
          <w:kern w:val="0"/>
          <w:sz w:val="32"/>
          <w:szCs w:val="32"/>
        </w:rPr>
        <w:t>2</w:t>
      </w:r>
      <w:r>
        <w:rPr>
          <w:rFonts w:hint="eastAsia" w:eastAsia="仿宋_GB2312"/>
          <w:b/>
          <w:bCs/>
          <w:kern w:val="0"/>
          <w:sz w:val="32"/>
          <w:szCs w:val="32"/>
        </w:rPr>
        <w:t>.</w:t>
      </w:r>
      <w:r>
        <w:rPr>
          <w:rFonts w:hint="eastAsia" w:eastAsia="仿宋_GB2312"/>
          <w:b/>
          <w:bCs/>
          <w:kern w:val="0"/>
          <w:sz w:val="32"/>
          <w:szCs w:val="32"/>
          <w:lang w:val="zh-CN"/>
        </w:rPr>
        <w:t>开展重要生态保护修复工程实施成效评估。</w:t>
      </w:r>
      <w:r>
        <w:rPr>
          <w:rFonts w:hint="eastAsia" w:eastAsia="仿宋_GB2312"/>
          <w:kern w:val="0"/>
          <w:sz w:val="32"/>
          <w:szCs w:val="32"/>
          <w:lang w:val="zh-CN"/>
        </w:rPr>
        <w:t>定期组织开展生态保护修复工程实施成效评估，工程实施主体在实施修复全过程中，开展生态质量、环境质量变化情况监测。探索开展自然资源开发利用活动生态影响监测评估，为生态监管与执法提供支撑。</w:t>
      </w:r>
    </w:p>
    <w:p>
      <w:pPr>
        <w:spacing w:line="600" w:lineRule="exact"/>
        <w:ind w:firstLine="560"/>
        <w:rPr>
          <w:rFonts w:eastAsia="仿宋_GB2312"/>
          <w:kern w:val="0"/>
          <w:sz w:val="32"/>
          <w:szCs w:val="32"/>
          <w:lang w:val="zh-CN"/>
        </w:rPr>
      </w:pPr>
      <w:r>
        <w:rPr>
          <w:rFonts w:eastAsia="仿宋_GB2312"/>
          <w:b/>
          <w:bCs/>
          <w:kern w:val="0"/>
          <w:sz w:val="32"/>
          <w:szCs w:val="32"/>
        </w:rPr>
        <w:t>3</w:t>
      </w:r>
      <w:r>
        <w:rPr>
          <w:rFonts w:hint="eastAsia" w:eastAsia="仿宋_GB2312"/>
          <w:b/>
          <w:bCs/>
          <w:kern w:val="0"/>
          <w:sz w:val="32"/>
          <w:szCs w:val="32"/>
        </w:rPr>
        <w:t>.</w:t>
      </w:r>
      <w:r>
        <w:rPr>
          <w:rFonts w:hint="eastAsia" w:eastAsia="仿宋_GB2312"/>
          <w:b/>
          <w:bCs/>
          <w:kern w:val="0"/>
          <w:sz w:val="32"/>
          <w:szCs w:val="32"/>
          <w:lang w:val="zh-CN"/>
        </w:rPr>
        <w:t>加强监测评估成果综合应用。</w:t>
      </w:r>
      <w:r>
        <w:rPr>
          <w:rFonts w:hint="eastAsia" w:eastAsia="仿宋_GB2312"/>
          <w:kern w:val="0"/>
          <w:sz w:val="32"/>
          <w:szCs w:val="32"/>
          <w:lang w:val="zh-CN"/>
        </w:rPr>
        <w:t>将生态保护红线、自然保护地和市域重点生态功能区生态质量监测结果作为测算生态保护补偿、重点生态功能区转移支付、优化生态保护修复治理专项资金配置的重要依据。将生态状况遥感调查评估结果纳入生态文明绩效考核。</w:t>
      </w:r>
    </w:p>
    <w:p>
      <w:pPr>
        <w:keepNext/>
        <w:keepLines/>
        <w:spacing w:line="600" w:lineRule="exact"/>
        <w:ind w:firstLine="630" w:firstLineChars="196"/>
        <w:jc w:val="left"/>
        <w:outlineLvl w:val="1"/>
        <w:rPr>
          <w:rFonts w:eastAsia="楷体_GB2312"/>
          <w:b/>
          <w:bCs/>
          <w:sz w:val="32"/>
          <w:szCs w:val="32"/>
        </w:rPr>
      </w:pPr>
      <w:bookmarkStart w:id="89" w:name="_Toc87116148"/>
      <w:r>
        <w:rPr>
          <w:rFonts w:hint="eastAsia" w:eastAsia="楷体_GB2312"/>
          <w:b/>
          <w:bCs/>
          <w:sz w:val="32"/>
          <w:szCs w:val="32"/>
        </w:rPr>
        <w:t>（五）突出生态创建示范引领</w:t>
      </w:r>
      <w:bookmarkEnd w:id="89"/>
    </w:p>
    <w:p>
      <w:pPr>
        <w:spacing w:line="600" w:lineRule="exact"/>
        <w:ind w:firstLine="640" w:firstLineChars="200"/>
        <w:rPr>
          <w:rFonts w:eastAsia="仿宋_GB2312"/>
          <w:bCs/>
          <w:sz w:val="32"/>
          <w:szCs w:val="32"/>
        </w:rPr>
      </w:pPr>
      <w:r>
        <w:rPr>
          <w:rFonts w:hint="eastAsia" w:eastAsia="仿宋_GB2312"/>
          <w:bCs/>
          <w:sz w:val="32"/>
          <w:szCs w:val="32"/>
        </w:rPr>
        <w:t>在已获评“国家生态文明建设示范市”的基础上，在生态制度、生态安全、生态空间、生态经济、生态生活、生态文化各方面不断提高生态文明建设水平。推进“绿水青山就是金山银山”实践创新基地、市级生态示范乡镇（村）等创建工作。建立健全正向有效的激励机制，加大对绩效考核、奖励资金、项目支持等方面的制度和政策研究，形成长效的示范引领机制。</w:t>
      </w:r>
    </w:p>
    <w:p>
      <w:pPr>
        <w:keepNext/>
        <w:keepLines/>
        <w:spacing w:before="312" w:beforeLines="100" w:after="312" w:afterLines="100" w:line="600" w:lineRule="exact"/>
        <w:ind w:firstLine="630" w:firstLineChars="196"/>
        <w:outlineLvl w:val="0"/>
        <w:rPr>
          <w:rFonts w:eastAsia="黑体"/>
          <w:b/>
          <w:bCs/>
          <w:kern w:val="44"/>
          <w:sz w:val="32"/>
          <w:szCs w:val="44"/>
        </w:rPr>
      </w:pPr>
      <w:bookmarkStart w:id="90" w:name="_Toc87116149"/>
      <w:r>
        <w:rPr>
          <w:rFonts w:hint="eastAsia" w:eastAsia="黑体"/>
          <w:b/>
          <w:bCs/>
          <w:kern w:val="44"/>
          <w:sz w:val="32"/>
          <w:szCs w:val="44"/>
        </w:rPr>
        <w:t>五、深入打好污染防治攻坚战、持续改善生态环境质量</w:t>
      </w:r>
      <w:bookmarkEnd w:id="57"/>
      <w:bookmarkEnd w:id="58"/>
      <w:bookmarkEnd w:id="59"/>
      <w:bookmarkEnd w:id="90"/>
    </w:p>
    <w:bookmarkEnd w:id="60"/>
    <w:bookmarkEnd w:id="61"/>
    <w:p>
      <w:pPr>
        <w:keepNext/>
        <w:keepLines/>
        <w:spacing w:line="600" w:lineRule="exact"/>
        <w:ind w:firstLine="630" w:firstLineChars="196"/>
        <w:jc w:val="left"/>
        <w:outlineLvl w:val="1"/>
        <w:rPr>
          <w:rFonts w:eastAsia="楷体_GB2312"/>
          <w:b/>
          <w:bCs/>
          <w:sz w:val="32"/>
          <w:szCs w:val="32"/>
        </w:rPr>
      </w:pPr>
      <w:bookmarkStart w:id="91" w:name="_Toc24024"/>
      <w:bookmarkStart w:id="92" w:name="_Toc75857517"/>
      <w:bookmarkStart w:id="93" w:name="_Toc13643"/>
      <w:bookmarkStart w:id="94" w:name="_Toc87116150"/>
      <w:r>
        <w:rPr>
          <w:rFonts w:hint="eastAsia" w:eastAsia="楷体_GB2312" w:cs="宋体"/>
          <w:b/>
          <w:bCs/>
          <w:sz w:val="32"/>
          <w:szCs w:val="32"/>
        </w:rPr>
        <w:t>（一）</w:t>
      </w:r>
      <w:bookmarkEnd w:id="91"/>
      <w:bookmarkEnd w:id="92"/>
      <w:r>
        <w:rPr>
          <w:rFonts w:hint="eastAsia" w:eastAsia="楷体_GB2312" w:cs="宋体"/>
          <w:b/>
          <w:bCs/>
          <w:sz w:val="32"/>
          <w:szCs w:val="32"/>
        </w:rPr>
        <w:t>深入打好碧水保卫战</w:t>
      </w:r>
      <w:bookmarkEnd w:id="93"/>
      <w:bookmarkEnd w:id="94"/>
    </w:p>
    <w:p>
      <w:pPr>
        <w:ind w:firstLine="643" w:firstLineChars="200"/>
        <w:rPr>
          <w:rFonts w:eastAsia="仿宋_GB2312"/>
          <w:bCs/>
          <w:sz w:val="32"/>
          <w:szCs w:val="32"/>
        </w:rPr>
      </w:pPr>
      <w:r>
        <w:rPr>
          <w:rFonts w:hint="eastAsia" w:eastAsia="仿宋_GB2312"/>
          <w:b/>
          <w:sz w:val="32"/>
          <w:szCs w:val="32"/>
        </w:rPr>
        <w:t>1.强化饮用水水源保护。</w:t>
      </w:r>
      <w:r>
        <w:rPr>
          <w:rFonts w:hint="eastAsia" w:eastAsia="仿宋_GB2312"/>
          <w:bCs/>
          <w:sz w:val="32"/>
          <w:szCs w:val="32"/>
        </w:rPr>
        <w:t>加快宁乡市饮用水源综合整治工程建设，加强集中式饮用水水源地保护。加快备用水源工程与配套输水建设，实现备用水源与供水管道互联互通。实施水源专项执法行动，开展饮用水水源地环境状况评估和安全隐患排查。在巩固城市饮用水水源保护与治理成果的基础上，着力解决农村饮用水水源保护工作中存在的突出生态环境问题。按照《集中式饮用水水源地规范化建设环境保护技术要求》（HJ773-2015）,全面推进饮用水水源地规范化建设。 巩固全市集中式饮用水水源地专项整治成效，定期维护保护区界标、交通警示牌、宣传牌和一级保护区隔离防护设施，加强保护区预警、视频监控能力建设。</w:t>
      </w:r>
    </w:p>
    <w:p>
      <w:pPr>
        <w:ind w:firstLine="643" w:firstLineChars="200"/>
        <w:rPr>
          <w:rFonts w:eastAsia="仿宋_GB2312"/>
          <w:sz w:val="32"/>
          <w:szCs w:val="32"/>
        </w:rPr>
      </w:pPr>
      <w:r>
        <w:rPr>
          <w:rFonts w:hint="eastAsia" w:eastAsia="仿宋_GB2312"/>
          <w:b/>
          <w:sz w:val="32"/>
          <w:szCs w:val="32"/>
        </w:rPr>
        <w:t>2.提高水环境治理效能。</w:t>
      </w:r>
      <w:r>
        <w:rPr>
          <w:rFonts w:hint="eastAsia" w:eastAsia="仿宋_GB2312"/>
          <w:sz w:val="32"/>
          <w:szCs w:val="32"/>
        </w:rPr>
        <w:t>加快推进靳江河、沩水等流域城镇污水排放系统提质增效，结合水环境承载力的实际情况，确定城市开发规模和涉水工业规模。加快实施污水处理厂的提标改造。实施宁乡城区雨污分流工程，对现已查明的雨污错接点分区的截污干管进行修复和提质、分期实施改造，从岸上源头解决雨污合流的问题。加强初期雨水的污染防治，引入高速过滤系统以应对雨水流量冲击；针对流域两厢现有砖砌污水井进行防渗漏处理，防止污水外渗和地下水渗入。按“一园一档”的要求，完善园区水环境管理。加强工业企业污水处理监管，对各园区涉水企业进行规范化整顿，完善污水处理措施。推进宁乡市重点工业污染源废水处理设施的建设，以食品饮料、锂电等行业为重点，对废水处理设施进行提标改造工程，确保工业废水排放达标率达到100%，并对污染源进行实时监控。</w:t>
      </w:r>
    </w:p>
    <w:p>
      <w:pPr>
        <w:ind w:firstLine="643" w:firstLineChars="200"/>
        <w:rPr>
          <w:rFonts w:eastAsia="仿宋_GB2312"/>
          <w:sz w:val="32"/>
          <w:szCs w:val="32"/>
        </w:rPr>
      </w:pPr>
      <w:r>
        <w:rPr>
          <w:rFonts w:hint="eastAsia" w:eastAsia="仿宋_GB2312"/>
          <w:b/>
          <w:sz w:val="32"/>
          <w:szCs w:val="32"/>
        </w:rPr>
        <w:t>3.加强水资源保障力度。</w:t>
      </w:r>
      <w:r>
        <w:rPr>
          <w:rFonts w:hint="eastAsia" w:eastAsia="仿宋_GB2312"/>
          <w:sz w:val="32"/>
          <w:szCs w:val="32"/>
        </w:rPr>
        <w:t>大力推进农业、工业、城镇节水，优化水资源配置。建立生态流量监管系统，以沩水为主要水源，沿流域敷设补水管，构建跨区域、跨流域引水补水网络，保障生态流量。实施重点示范工业企业配套中水回用设施建设，建设一批污水再利用工程示范企业，推行工业用水重复利用技术，提升水资源的综合利用，进一步提高工业用水重复利用率。制定最严格的水资源管理制度考核办法和分级目标考核，建立干部问责和监督检查机制建立水资源管理目标责任与考核机制。落实行政首长对本行政区域水资源管理和保护工作负总责，水务行政主管部门每年会同有关部门，对下级行政区域水资源“三条红线”、“四个控制”工作落实情况进行考核，考核结果作为领导干部考核评价的重要依据。</w:t>
      </w:r>
    </w:p>
    <w:p>
      <w:pPr>
        <w:ind w:firstLine="643" w:firstLineChars="200"/>
        <w:rPr>
          <w:rFonts w:eastAsia="仿宋_GB2312"/>
          <w:sz w:val="32"/>
          <w:szCs w:val="32"/>
        </w:rPr>
      </w:pPr>
      <w:r>
        <w:rPr>
          <w:rFonts w:hint="eastAsia" w:eastAsia="仿宋_GB2312"/>
          <w:b/>
          <w:sz w:val="32"/>
          <w:szCs w:val="32"/>
        </w:rPr>
        <w:t>4.开展水生态保护与修复。</w:t>
      </w:r>
      <w:r>
        <w:rPr>
          <w:rFonts w:hint="eastAsia" w:eastAsia="仿宋_GB2312"/>
          <w:sz w:val="32"/>
          <w:szCs w:val="32"/>
        </w:rPr>
        <w:t>在湿地恢复与建设、河湖生态建设、加强水土保持建设、水生生物完整性恢复等方面推进水生态系统保护与修复。加快宁乡市绿色生态公园建设、山水林田湖草综合项目退耕还林还湿以及国家级、省级森林城市的创建。推进沩江“十里画廊”、香山景区、金洲湖国家湿地公园湿地保护与合理利用示范工程、青羊湖生态文化示范园等一批两型生态项目。</w:t>
      </w:r>
    </w:p>
    <w:p>
      <w:pPr>
        <w:ind w:firstLine="643" w:firstLineChars="200"/>
        <w:rPr>
          <w:rFonts w:eastAsia="仿宋_GB2312"/>
          <w:sz w:val="32"/>
          <w:szCs w:val="32"/>
        </w:rPr>
      </w:pPr>
      <w:r>
        <w:rPr>
          <w:rFonts w:hint="eastAsia" w:eastAsia="仿宋_GB2312"/>
          <w:b/>
          <w:sz w:val="32"/>
          <w:szCs w:val="32"/>
        </w:rPr>
        <w:t>5.推进海绵城市建设。</w:t>
      </w:r>
      <w:r>
        <w:rPr>
          <w:rFonts w:hint="eastAsia" w:eastAsia="仿宋_GB2312"/>
          <w:sz w:val="32"/>
          <w:szCs w:val="32"/>
        </w:rPr>
        <w:t>科学布局城市建成区的排水防涝工程体系，妥善安排城市洪涝水滞蓄和外排出路，统筹布局泄洪通道和蓄滞场所，综合考量河湖调节、滞蓄、外排等措施，完善堤防、涵闸、泵站等设施，实施河道清淤工程，增加河道排放能力。结合城市建设、老城区提质、棚户区改造等工程，加快推进低洼易涝点治理，明确下沉式涵洞、立交桥等低洼易涝点的危险水位和应急措施。对新建的海绵型建筑小区，保留原始地形地貌，并配套建设雨水收集利用设施，实施绿色屋顶或屋顶花园；对新建的道路、广场、绿地和公园，建设下凹式绿地、植草沟，并配套建设雨水收集、净化、利用设施。</w:t>
      </w:r>
    </w:p>
    <w:p>
      <w:pPr>
        <w:keepNext/>
        <w:keepLines/>
        <w:spacing w:line="600" w:lineRule="exact"/>
        <w:ind w:firstLine="630" w:firstLineChars="196"/>
        <w:jc w:val="left"/>
        <w:outlineLvl w:val="1"/>
        <w:rPr>
          <w:rFonts w:eastAsia="楷体_GB2312"/>
          <w:b/>
          <w:bCs/>
          <w:sz w:val="32"/>
          <w:szCs w:val="32"/>
        </w:rPr>
      </w:pPr>
      <w:bookmarkStart w:id="95" w:name="_Toc75857518"/>
      <w:bookmarkStart w:id="96" w:name="_Toc15513"/>
      <w:bookmarkStart w:id="97" w:name="_Toc434"/>
      <w:bookmarkStart w:id="98" w:name="_Toc87116151"/>
      <w:r>
        <w:rPr>
          <w:rFonts w:hint="eastAsia" w:eastAsia="楷体_GB2312" w:cs="宋体"/>
          <w:b/>
          <w:bCs/>
          <w:sz w:val="32"/>
          <w:szCs w:val="32"/>
        </w:rPr>
        <w:t>（二）</w:t>
      </w:r>
      <w:bookmarkEnd w:id="95"/>
      <w:bookmarkEnd w:id="96"/>
      <w:r>
        <w:rPr>
          <w:rFonts w:hint="eastAsia" w:eastAsia="楷体_GB2312" w:cs="宋体"/>
          <w:b/>
          <w:bCs/>
          <w:sz w:val="32"/>
          <w:szCs w:val="32"/>
        </w:rPr>
        <w:t>深入打好蓝天保卫战</w:t>
      </w:r>
      <w:bookmarkEnd w:id="97"/>
      <w:bookmarkEnd w:id="98"/>
    </w:p>
    <w:p>
      <w:pPr>
        <w:spacing w:line="60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.落实扬尘污染精细化管控。</w:t>
      </w:r>
      <w:r>
        <w:rPr>
          <w:rFonts w:hint="eastAsia" w:eastAsia="仿宋_GB2312"/>
          <w:sz w:val="32"/>
          <w:szCs w:val="32"/>
        </w:rPr>
        <w:t>推进扬尘管控精细化、规范化、长效化。根据《</w:t>
      </w:r>
      <w:bookmarkStart w:id="99" w:name="OLE_LINK4"/>
      <w:r>
        <w:rPr>
          <w:rFonts w:hint="eastAsia" w:eastAsia="仿宋_GB2312"/>
          <w:sz w:val="32"/>
          <w:szCs w:val="32"/>
        </w:rPr>
        <w:t>长沙市扬尘污染防治管理办法</w:t>
      </w:r>
      <w:bookmarkEnd w:id="99"/>
      <w:r>
        <w:rPr>
          <w:rFonts w:hint="eastAsia" w:eastAsia="仿宋_GB2312"/>
          <w:sz w:val="32"/>
          <w:szCs w:val="32"/>
        </w:rPr>
        <w:t>》要求，开展扬尘污染规范化控制工作，落实施工工地围挡、路面硬化、洒水压尘、裸土覆盖、进出车辆冲洗、渣土封闭运输、建筑垃圾规范管理、工程机械尾气达标排放8个“100%”，积极创建绿色工地；针对道路、施工、堆场、裸地等不同类型扬尘，强化环保设施运行监管，落实日常监管执法，加大违规处罚力度。加强运输过程扬尘管控整治。建立源头严控、过程严管、后端严惩的施工运输车辆管理体系，严格运输企业资格管理，严禁道路遗撒，完善建筑垃圾运输车辆管理信息平台，实现对运输车辆的全过程监管；积极开展特护期（秋冬季）集中清洗行动，对城市主次干道、人行道、交通护栏等进行全面冲洗；严格落实渣土、垃圾及其他散装物料密闭运输，全面开展运输车辆遗撒、带泥上路专项整治行动，强化联合执法。强化堆场和裸土扬尘治理，加强裸地绿化建设，建设绿化隔离带，大力推进城郊绿化，减少自然沙尘，消灭道路两侧裸地面积，采取绿化、覆盖、铺装等措施，整治裸露地面、废弃矿山和砂石坑、建筑渣土等扬尘污染；采取洒水、覆盖等措施，对露天堆放的易产生扬尘的渣土、砂石、垃圾等场所抑尘；积极推进工业粉煤灰、炉渣、矿渣的综合利用，大型堆场应建立密闭料仓与传送装置，减少堆放量，加强裸土硬化绿化建设。</w:t>
      </w:r>
    </w:p>
    <w:p>
      <w:pPr>
        <w:spacing w:line="600" w:lineRule="exact"/>
        <w:ind w:firstLine="643" w:firstLineChars="200"/>
        <w:rPr>
          <w:rFonts w:eastAsia="仿宋_GB2312"/>
          <w:sz w:val="32"/>
          <w:szCs w:val="32"/>
        </w:rPr>
      </w:pPr>
      <w:r>
        <w:rPr>
          <w:rFonts w:eastAsia="仿宋_GB2312"/>
          <w:b/>
          <w:sz w:val="32"/>
          <w:szCs w:val="32"/>
        </w:rPr>
        <w:t>2</w:t>
      </w:r>
      <w:r>
        <w:rPr>
          <w:rFonts w:hint="eastAsia" w:eastAsia="仿宋_GB2312"/>
          <w:b/>
          <w:sz w:val="32"/>
          <w:szCs w:val="32"/>
        </w:rPr>
        <w:t>.强化移动源污染防治。</w:t>
      </w:r>
      <w:r>
        <w:rPr>
          <w:rFonts w:hint="eastAsia" w:eastAsia="仿宋_GB2312"/>
          <w:sz w:val="32"/>
          <w:szCs w:val="32"/>
        </w:rPr>
        <w:t>强化尾气年检监管措施，严把尾气检测关。严格执行机动车排气超标车辆强制报废制度，加速高排放老旧车辆的淘汰，尾气不达标车辆一律严格要求维修治理，维修治理后仍不达标的车辆要予以淘汰；严格执行黄标车淘汰制度，联合相关职能部门，制定切实可行的黄标车淘汰计划，并认真严格实施，加快推</w:t>
      </w:r>
      <w:r>
        <w:rPr>
          <w:rFonts w:hint="eastAsia" w:eastAsia="仿宋_GB2312" w:cs="微软雅黑"/>
          <w:sz w:val="32"/>
          <w:szCs w:val="32"/>
        </w:rPr>
        <w:t>进</w:t>
      </w:r>
      <w:r>
        <w:rPr>
          <w:rFonts w:hint="eastAsia" w:eastAsia="仿宋_GB2312" w:cs="仿宋_GB2312"/>
          <w:sz w:val="32"/>
          <w:szCs w:val="32"/>
        </w:rPr>
        <w:t>黄标车淘汰，进一步减少机动车排气污染。</w:t>
      </w:r>
      <w:r>
        <w:rPr>
          <w:rFonts w:hint="eastAsia" w:eastAsia="仿宋_GB2312"/>
          <w:sz w:val="32"/>
          <w:szCs w:val="32"/>
        </w:rPr>
        <w:t>采取财政补贴等综合措施鼓励使用新能源汽车，政府机关、公交、出租、环卫等行业用车率先推广新能源汽车，逐年增加新能源和清洁燃料车的比例。</w:t>
      </w:r>
      <w:r>
        <w:rPr>
          <w:rFonts w:hint="eastAsia" w:eastAsia="仿宋_GB2312" w:cs="仿宋_GB2312"/>
          <w:sz w:val="32"/>
          <w:szCs w:val="32"/>
        </w:rPr>
        <w:t>合理规划各种交通运营系统，提高城市交通通行能力，减少机动车尾气污染。</w:t>
      </w:r>
    </w:p>
    <w:p>
      <w:pPr>
        <w:spacing w:line="600" w:lineRule="exact"/>
        <w:ind w:firstLine="643" w:firstLineChars="200"/>
        <w:rPr>
          <w:rFonts w:eastAsia="仿宋_GB2312"/>
          <w:sz w:val="32"/>
          <w:szCs w:val="32"/>
        </w:rPr>
      </w:pPr>
      <w:r>
        <w:rPr>
          <w:rFonts w:eastAsia="仿宋_GB2312"/>
          <w:b/>
          <w:sz w:val="32"/>
          <w:szCs w:val="32"/>
        </w:rPr>
        <w:t>3</w:t>
      </w:r>
      <w:r>
        <w:rPr>
          <w:rFonts w:hint="eastAsia" w:eastAsia="仿宋_GB2312"/>
          <w:b/>
          <w:sz w:val="32"/>
          <w:szCs w:val="32"/>
        </w:rPr>
        <w:t>.深入开展工业企业污染治理与提标改造。</w:t>
      </w:r>
      <w:r>
        <w:rPr>
          <w:rFonts w:hint="eastAsia" w:eastAsia="仿宋_GB2312"/>
          <w:sz w:val="32"/>
          <w:szCs w:val="32"/>
        </w:rPr>
        <w:t>加大对重点污染企业的整改力度。对于污染严重企业，责令技术改造，并结合实际情况，对部分企业逐步外迁或关、停、并、转。对于现有企业的改、扩建项目，在审批过程中坚持总量控制的原则，严格执行国家清洁生产和能源政策。开展重点企业涉挥发性有机物治理“一企一策”整治工作，深化重点工业企业VOCs综合治理。继续推动重点监管企业安装VOCs在线监测设备，确保企业VOCs排放长效稳定达标，推进</w:t>
      </w:r>
      <w:r>
        <w:rPr>
          <w:rFonts w:eastAsia="仿宋_GB2312"/>
          <w:sz w:val="32"/>
          <w:szCs w:val="32"/>
        </w:rPr>
        <w:t>VOC</w:t>
      </w:r>
      <w:r>
        <w:rPr>
          <w:rFonts w:hint="eastAsia" w:eastAsia="仿宋_GB2312"/>
          <w:sz w:val="32"/>
          <w:szCs w:val="32"/>
        </w:rPr>
        <w:t>s处理技术的升级改造。加强废气收集，减少VOCs无组织排放，杜绝机械产品表面涂装露天喷涂。VOCs排放量大的新建工业企业要入园区，实行区域内VOCs排放等量削减替代。新、改、扩建涉及VOCs排放项目，大力推广使用低（无）VOCs含量的涂料、有机溶剂、胶黏剂、油墨等原辅材料，并配套改进生产工艺。</w:t>
      </w:r>
    </w:p>
    <w:p>
      <w:pPr>
        <w:spacing w:line="600" w:lineRule="exact"/>
        <w:ind w:firstLine="643" w:firstLineChars="200"/>
        <w:rPr>
          <w:rFonts w:eastAsia="仿宋_GB2312"/>
          <w:sz w:val="32"/>
          <w:szCs w:val="32"/>
        </w:rPr>
      </w:pPr>
      <w:r>
        <w:rPr>
          <w:rFonts w:eastAsia="仿宋_GB2312"/>
          <w:b/>
          <w:sz w:val="32"/>
          <w:szCs w:val="32"/>
        </w:rPr>
        <w:t>4</w:t>
      </w:r>
      <w:r>
        <w:rPr>
          <w:rFonts w:hint="eastAsia" w:eastAsia="仿宋_GB2312"/>
          <w:b/>
          <w:sz w:val="32"/>
          <w:szCs w:val="32"/>
        </w:rPr>
        <w:t>、深化农业和生活面源污染综合防治。</w:t>
      </w:r>
      <w:r>
        <w:rPr>
          <w:rFonts w:hint="eastAsia" w:eastAsia="仿宋_GB2312"/>
          <w:sz w:val="32"/>
          <w:szCs w:val="32"/>
        </w:rPr>
        <w:t>重点控制秸秆燃烧。强化乡镇人民政府和街道办事处秸秆禁烧主体责任，全域禁止露天焚烧秸秆；严禁任何单位和个人在市域范围内露天焚烧秸秆、垃圾和其他产生烟尘物质；加大秸秆禁烧专项巡查的频率，及时处置露天焚烧秸秆和垃圾的行为。努力拓展秸秆肥料化、饲料化、能源化、基料化、原料化利用渠道。全面推进农业氨源综合整治。推进畜禽养殖污染治理，加强养殖废弃物资源化利用，规模化畜禽养殖场根据污染防治需要，为规模化养殖配套建设粪污贮存、处理、利用设施，散养密集区实行畜禽粪污分户收集、集中处理利用。实施餐饮业油烟精细化管理。切实落实大中型餐饮企业、企事业机关食堂、学校食堂、城市建成区餐饮服务规模以上的单位等饮食油烟净化措施，做到油烟净化100%。严格控制烟花爆竹燃放，全面禁止燃放烟花爆竹，加强巡查，严肃查处违法违规行为。</w:t>
      </w:r>
    </w:p>
    <w:p>
      <w:pPr>
        <w:spacing w:line="600" w:lineRule="exact"/>
        <w:ind w:firstLine="643" w:firstLineChars="200"/>
        <w:rPr>
          <w:rFonts w:eastAsia="仿宋_GB2312"/>
          <w:sz w:val="32"/>
          <w:szCs w:val="32"/>
        </w:rPr>
      </w:pPr>
      <w:r>
        <w:rPr>
          <w:rFonts w:eastAsia="仿宋_GB2312"/>
          <w:b/>
          <w:sz w:val="32"/>
          <w:szCs w:val="32"/>
        </w:rPr>
        <w:t>5</w:t>
      </w:r>
      <w:r>
        <w:rPr>
          <w:rFonts w:hint="eastAsia" w:eastAsia="仿宋_GB2312"/>
          <w:b/>
          <w:sz w:val="32"/>
          <w:szCs w:val="32"/>
        </w:rPr>
        <w:t>.强化多污染物协同控制和区域协同治理。</w:t>
      </w:r>
      <w:r>
        <w:rPr>
          <w:rFonts w:hint="eastAsia" w:eastAsia="仿宋_GB2312"/>
          <w:sz w:val="32"/>
          <w:szCs w:val="32"/>
        </w:rPr>
        <w:t>加强细颗粒物和臭氧协同控制，基本消除重污染天气。确立以PM</w:t>
      </w:r>
      <w:r>
        <w:rPr>
          <w:rFonts w:hint="eastAsia" w:eastAsia="仿宋_GB2312"/>
          <w:sz w:val="32"/>
          <w:szCs w:val="32"/>
          <w:vertAlign w:val="subscript"/>
        </w:rPr>
        <w:t>2.5</w:t>
      </w:r>
      <w:r>
        <w:rPr>
          <w:rFonts w:hint="eastAsia" w:eastAsia="仿宋_GB2312"/>
          <w:sz w:val="32"/>
          <w:szCs w:val="32"/>
        </w:rPr>
        <w:t>和臭氧为核心的多污染物协同控制战略，加强臭氧污染防治相关基础能力建设，进一步强化关键前体物组分特征的业务性监测。加强NOx与VOCs的协同控制，开展臭氧污染防治控制措施效果评估研究，确定最优的NOx和VOCs减排比例及减排量。明确重点控制区域和重点行业，制定多措并举的NOx与 VOCs协同减排策略。</w:t>
      </w:r>
    </w:p>
    <w:p>
      <w:pPr>
        <w:keepNext/>
        <w:keepLines/>
        <w:spacing w:line="600" w:lineRule="exact"/>
        <w:ind w:firstLine="630" w:firstLineChars="196"/>
        <w:jc w:val="left"/>
        <w:outlineLvl w:val="1"/>
        <w:rPr>
          <w:rFonts w:eastAsia="楷体_GB2312"/>
          <w:b/>
          <w:bCs/>
          <w:sz w:val="32"/>
          <w:szCs w:val="32"/>
        </w:rPr>
      </w:pPr>
      <w:bookmarkStart w:id="100" w:name="_Toc74057911"/>
      <w:bookmarkStart w:id="101" w:name="_Toc22868"/>
      <w:bookmarkStart w:id="102" w:name="_Toc4842"/>
      <w:bookmarkStart w:id="103" w:name="_Toc72152396"/>
      <w:bookmarkStart w:id="104" w:name="_Toc75857519"/>
      <w:bookmarkStart w:id="105" w:name="_Toc19272"/>
      <w:bookmarkStart w:id="106" w:name="_Toc87116152"/>
      <w:r>
        <w:rPr>
          <w:rFonts w:hint="eastAsia" w:eastAsia="楷体_GB2312" w:cs="宋体"/>
          <w:b/>
          <w:bCs/>
          <w:sz w:val="32"/>
          <w:szCs w:val="32"/>
        </w:rPr>
        <w:t>（三）</w:t>
      </w:r>
      <w:bookmarkEnd w:id="100"/>
      <w:bookmarkEnd w:id="101"/>
      <w:bookmarkEnd w:id="102"/>
      <w:bookmarkEnd w:id="103"/>
      <w:bookmarkEnd w:id="104"/>
      <w:r>
        <w:rPr>
          <w:rFonts w:hint="eastAsia" w:eastAsia="楷体_GB2312" w:cs="宋体"/>
          <w:b/>
          <w:bCs/>
          <w:sz w:val="32"/>
          <w:szCs w:val="32"/>
        </w:rPr>
        <w:t>深入打好净土保卫战</w:t>
      </w:r>
      <w:bookmarkEnd w:id="105"/>
      <w:bookmarkEnd w:id="106"/>
    </w:p>
    <w:p>
      <w:pPr>
        <w:spacing w:line="60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.推进重点污染源监管，建立土壤信息系统。</w:t>
      </w:r>
      <w:r>
        <w:rPr>
          <w:rFonts w:hint="eastAsia" w:eastAsia="仿宋_GB2312"/>
          <w:sz w:val="32"/>
          <w:szCs w:val="32"/>
        </w:rPr>
        <w:t>开展土壤环境调查与风险评估。开展农业用地土壤环境质量状况调查，编制耕地土壤环境质量报告，评估土壤污染对农产品质量安全的影响；对于受到污染的土壤，评估土壤污染对粮食、烟叶和茶叶等农产品质量安全的影响。强化农用地土壤污染风险管控，持续深入实施涉镉等重金属重点行业企业排查整治行动。持续推进土壤污染状况详查，完成重点行业企业用地土壤污染状况调查，掌握重点行业企业用地污染地块分布及其环境风险情况。动态更新土壤环境重点监管企业名单，落实土壤环境重点监管企业自行监测要求，结果向社会公开。组织对重点监管企业和工业园区周边土壤开展监督性监测，数据及时上传全省土壤环境信息化管理平台。建立重金属重点防控区域总量控制机制，完善涉重金属产业准入条件。禁止在优先保护类耕地集中区域新建化工、电镀、制革、危险废物经营等行业项目。</w:t>
      </w:r>
    </w:p>
    <w:p>
      <w:pPr>
        <w:spacing w:line="600" w:lineRule="exact"/>
        <w:ind w:firstLine="643" w:firstLineChars="200"/>
        <w:rPr>
          <w:rFonts w:eastAsia="仿宋_GB2312"/>
          <w:sz w:val="32"/>
          <w:szCs w:val="32"/>
        </w:rPr>
      </w:pPr>
      <w:r>
        <w:rPr>
          <w:rFonts w:eastAsia="仿宋_GB2312"/>
          <w:b/>
          <w:sz w:val="32"/>
          <w:szCs w:val="32"/>
        </w:rPr>
        <w:t>2</w:t>
      </w:r>
      <w:r>
        <w:rPr>
          <w:rFonts w:hint="eastAsia" w:eastAsia="仿宋_GB2312"/>
          <w:b/>
          <w:sz w:val="32"/>
          <w:szCs w:val="32"/>
        </w:rPr>
        <w:t>.强化建设用地土壤污染修复和控制。</w:t>
      </w:r>
      <w:r>
        <w:rPr>
          <w:rFonts w:hint="eastAsia" w:eastAsia="仿宋_GB2312"/>
          <w:sz w:val="32"/>
          <w:szCs w:val="32"/>
        </w:rPr>
        <w:t>加大专项资金的投入，依法关闭不能稳定达标排放的涉重金属污染企业，加快研制高效修复剂制备技术以及修复工艺。依照重金属污染源整治清单，对列入整治清单中的污染源逐一制定管控、治理方案并组织实施及销号。以重污染工矿企业、集中污染治理设施周边、重金属污染防治重点区域、集中式饮用水水源地周边、废弃物堆存场地等为重点，开展污染场地土壤综合治理与修复试点示范，确保土地转换用途后的安全利用，避免环境风险和社会纠纷。</w:t>
      </w:r>
    </w:p>
    <w:p>
      <w:pPr>
        <w:spacing w:line="600" w:lineRule="exact"/>
        <w:ind w:firstLine="643" w:firstLineChars="200"/>
        <w:rPr>
          <w:rFonts w:eastAsia="仿宋_GB2312"/>
          <w:sz w:val="32"/>
          <w:szCs w:val="32"/>
        </w:rPr>
      </w:pPr>
      <w:r>
        <w:rPr>
          <w:rFonts w:eastAsia="仿宋_GB2312"/>
          <w:b/>
          <w:sz w:val="32"/>
          <w:szCs w:val="32"/>
        </w:rPr>
        <w:t>3</w:t>
      </w:r>
      <w:r>
        <w:rPr>
          <w:rFonts w:hint="eastAsia" w:eastAsia="仿宋_GB2312"/>
          <w:b/>
          <w:sz w:val="32"/>
          <w:szCs w:val="32"/>
        </w:rPr>
        <w:t>.推进农用地土壤环境保护与安全利用。</w:t>
      </w:r>
      <w:r>
        <w:rPr>
          <w:rFonts w:hint="eastAsia" w:eastAsia="仿宋_GB2312"/>
          <w:sz w:val="32"/>
          <w:szCs w:val="32"/>
        </w:rPr>
        <w:t>加大优先保护类耕地保护力度，确保耕地面积不减少、土壤环境质量不下降。大力推广科学施肥及合理用药技术，对工矿企业周边的水稻等敏感作物开展重金属专项检测，积极开展种植业面源氮、磷流失量监测，控制农药面源污染。因地制宜推行秸秆还田、种植绿肥、增施有机肥、农膜减量与回收利用等措施，提升耕地质量，确保严格管控类耕地得到安全利用。推广应用品质替代、水肥调控、土壤调理等技术，确保土壤安全利用不断提高。对划定的管控区域采取监管措施，加强土壤污染治理与修复工程监管，严格防止二次污染。在永久基本农田集中区域，不得规划新建可能造成土壤污染的建设项目。</w:t>
      </w:r>
    </w:p>
    <w:p>
      <w:pPr>
        <w:keepNext/>
        <w:keepLines/>
        <w:spacing w:line="600" w:lineRule="exact"/>
        <w:ind w:firstLine="643" w:firstLineChars="200"/>
        <w:jc w:val="left"/>
        <w:outlineLvl w:val="1"/>
        <w:rPr>
          <w:rFonts w:eastAsia="楷体_GB2312"/>
          <w:b/>
          <w:bCs/>
          <w:sz w:val="32"/>
          <w:szCs w:val="32"/>
        </w:rPr>
      </w:pPr>
      <w:bookmarkStart w:id="107" w:name="_Toc13332"/>
      <w:bookmarkStart w:id="108" w:name="_Toc16401"/>
      <w:bookmarkStart w:id="109" w:name="_Toc72152398"/>
      <w:bookmarkStart w:id="110" w:name="_Toc75857521"/>
      <w:bookmarkStart w:id="111" w:name="_Toc87116153"/>
      <w:bookmarkStart w:id="112" w:name="_Toc27760"/>
      <w:bookmarkStart w:id="113" w:name="_Toc74185420"/>
      <w:bookmarkStart w:id="114" w:name="_Toc19161"/>
      <w:r>
        <w:rPr>
          <w:rFonts w:hint="eastAsia" w:eastAsia="楷体_GB2312" w:cs="宋体"/>
          <w:b/>
          <w:bCs/>
          <w:sz w:val="32"/>
          <w:szCs w:val="32"/>
        </w:rPr>
        <w:t>（四）持续推进噪声污染防治</w:t>
      </w:r>
      <w:bookmarkEnd w:id="107"/>
      <w:bookmarkEnd w:id="108"/>
      <w:bookmarkEnd w:id="109"/>
      <w:bookmarkEnd w:id="110"/>
      <w:bookmarkEnd w:id="111"/>
      <w:bookmarkEnd w:id="112"/>
      <w:bookmarkEnd w:id="113"/>
    </w:p>
    <w:p>
      <w:pPr>
        <w:spacing w:line="600" w:lineRule="exact"/>
        <w:ind w:firstLine="643" w:firstLineChars="200"/>
        <w:rPr>
          <w:rFonts w:eastAsia="仿宋_GB2312"/>
          <w:bCs/>
          <w:sz w:val="32"/>
          <w:szCs w:val="32"/>
        </w:rPr>
      </w:pPr>
      <w:r>
        <w:rPr>
          <w:rFonts w:eastAsia="仿宋_GB2312"/>
          <w:b/>
          <w:sz w:val="32"/>
          <w:szCs w:val="32"/>
        </w:rPr>
        <w:t>1</w:t>
      </w:r>
      <w:r>
        <w:rPr>
          <w:rFonts w:hint="eastAsia" w:eastAsia="仿宋_GB2312"/>
          <w:b/>
          <w:sz w:val="32"/>
          <w:szCs w:val="32"/>
        </w:rPr>
        <w:t>.着力解决噪声污染问题。</w:t>
      </w:r>
      <w:r>
        <w:rPr>
          <w:rFonts w:hint="eastAsia" w:eastAsia="仿宋_GB2312"/>
          <w:sz w:val="32"/>
          <w:szCs w:val="32"/>
        </w:rPr>
        <w:t>从噪声源头预防噪声污染。淘汰高噪声的落后设备，对人民群众反映强烈的交通、建筑施工、工业、餐饮娱乐场所、居民小区等领域的噪声污染问题，进行分类施策、专项治理，切实加大对噪声污染源的查处力度，还静于民。充分运用大数据平台和信息化手段，加快完善噪声监测网络。对高铁、高速公路、机场、小区、学校和医院等具有噪声问题的地区布置噪声监测装置，建立噪声自动监测网络系统，为全市噪声污染防治提供数据支撑。</w:t>
      </w:r>
    </w:p>
    <w:p>
      <w:pPr>
        <w:spacing w:line="600" w:lineRule="exact"/>
        <w:ind w:firstLine="643" w:firstLineChars="200"/>
        <w:rPr>
          <w:rFonts w:eastAsia="仿宋_GB2312"/>
          <w:sz w:val="32"/>
          <w:szCs w:val="32"/>
        </w:rPr>
      </w:pPr>
      <w:r>
        <w:rPr>
          <w:rFonts w:eastAsia="仿宋_GB2312"/>
          <w:b/>
          <w:bCs/>
          <w:sz w:val="32"/>
          <w:szCs w:val="32"/>
        </w:rPr>
        <w:t>2</w:t>
      </w:r>
      <w:r>
        <w:rPr>
          <w:rFonts w:hint="eastAsia" w:eastAsia="仿宋_GB2312"/>
          <w:b/>
          <w:bCs/>
          <w:sz w:val="32"/>
          <w:szCs w:val="32"/>
        </w:rPr>
        <w:t>.强化交通噪声污染控制。</w:t>
      </w:r>
      <w:r>
        <w:rPr>
          <w:rFonts w:hint="eastAsia" w:eastAsia="仿宋_GB2312"/>
          <w:sz w:val="32"/>
          <w:szCs w:val="32"/>
        </w:rPr>
        <w:t>以国土空间规划为依据，坚持预防为主原则，合理规划地面交通设施与邻近建筑物布局，从源头上降低交通噪声对敏感目标的影响。优先采用主动降噪措施，积极采取减振降噪措施，改善居民夜间声环境质量。在路面工程施工过程中，对项目沿线小区集中路段的路面采用降噪沥青路面技术，以降低路面车噪。</w:t>
      </w:r>
    </w:p>
    <w:p>
      <w:pPr>
        <w:spacing w:line="600" w:lineRule="exact"/>
        <w:ind w:firstLine="643" w:firstLineChars="200"/>
        <w:rPr>
          <w:rFonts w:eastAsia="仿宋_GB2312"/>
          <w:sz w:val="32"/>
          <w:szCs w:val="32"/>
        </w:rPr>
      </w:pPr>
      <w:r>
        <w:rPr>
          <w:rFonts w:eastAsia="仿宋_GB2312"/>
          <w:b/>
          <w:bCs/>
          <w:sz w:val="32"/>
          <w:szCs w:val="32"/>
        </w:rPr>
        <w:t>3</w:t>
      </w:r>
      <w:r>
        <w:rPr>
          <w:rFonts w:hint="eastAsia" w:eastAsia="仿宋_GB2312"/>
          <w:b/>
          <w:bCs/>
          <w:sz w:val="32"/>
          <w:szCs w:val="32"/>
        </w:rPr>
        <w:t>.加强建筑施工噪声控制。</w:t>
      </w:r>
      <w:r>
        <w:rPr>
          <w:rFonts w:hint="eastAsia" w:eastAsia="仿宋_GB2312"/>
          <w:sz w:val="32"/>
          <w:szCs w:val="32"/>
        </w:rPr>
        <w:t>严格夜间施工审批和监管。严格执行建筑施工场界噪声限值规定，查处施工噪声超过排放标准的行为。加大夜间违法施工噪声扰民的处罚力度，提高施工单位环保意识。</w:t>
      </w:r>
    </w:p>
    <w:p>
      <w:pPr>
        <w:spacing w:line="600" w:lineRule="exact"/>
        <w:ind w:firstLine="643" w:firstLineChars="200"/>
        <w:rPr>
          <w:rFonts w:eastAsia="仿宋_GB2312"/>
          <w:sz w:val="32"/>
          <w:szCs w:val="32"/>
        </w:rPr>
      </w:pPr>
      <w:r>
        <w:rPr>
          <w:rFonts w:eastAsia="仿宋_GB2312"/>
          <w:b/>
          <w:bCs/>
          <w:sz w:val="32"/>
          <w:szCs w:val="32"/>
        </w:rPr>
        <w:t>4</w:t>
      </w:r>
      <w:r>
        <w:rPr>
          <w:rFonts w:hint="eastAsia" w:eastAsia="仿宋_GB2312"/>
          <w:b/>
          <w:bCs/>
          <w:sz w:val="32"/>
          <w:szCs w:val="32"/>
        </w:rPr>
        <w:t>.加强工业噪声污染控制。</w:t>
      </w:r>
      <w:r>
        <w:rPr>
          <w:rFonts w:hint="eastAsia" w:eastAsia="仿宋_GB2312"/>
          <w:sz w:val="32"/>
          <w:szCs w:val="32"/>
        </w:rPr>
        <w:t>对新、改、扩建工业企业，严格执行环境影响评价制度、</w:t>
      </w:r>
      <w:r>
        <w:rPr>
          <w:rFonts w:eastAsia="仿宋_GB2312"/>
          <w:sz w:val="32"/>
          <w:szCs w:val="32"/>
        </w:rPr>
        <w:t>“</w:t>
      </w:r>
      <w:r>
        <w:rPr>
          <w:rFonts w:hint="eastAsia" w:eastAsia="仿宋_GB2312"/>
          <w:sz w:val="32"/>
          <w:szCs w:val="32"/>
        </w:rPr>
        <w:t>三同时</w:t>
      </w:r>
      <w:r>
        <w:rPr>
          <w:rFonts w:eastAsia="仿宋_GB2312"/>
          <w:sz w:val="32"/>
          <w:szCs w:val="32"/>
        </w:rPr>
        <w:t>”</w:t>
      </w:r>
      <w:r>
        <w:rPr>
          <w:rFonts w:hint="eastAsia" w:eastAsia="仿宋_GB2312"/>
          <w:sz w:val="32"/>
          <w:szCs w:val="32"/>
        </w:rPr>
        <w:t>制度等有关规定，尽可能减少对周边环境的影响。积极回应工业噪声信访投诉，推动企业整改，依法查处工业企业噪声污染违法行为。</w:t>
      </w:r>
    </w:p>
    <w:p>
      <w:pPr>
        <w:spacing w:line="600" w:lineRule="exact"/>
        <w:ind w:firstLine="643" w:firstLineChars="200"/>
        <w:rPr>
          <w:rFonts w:eastAsia="仿宋_GB2312"/>
          <w:sz w:val="32"/>
          <w:szCs w:val="32"/>
        </w:rPr>
      </w:pPr>
      <w:r>
        <w:rPr>
          <w:rFonts w:eastAsia="仿宋_GB2312"/>
          <w:b/>
          <w:bCs/>
          <w:sz w:val="32"/>
          <w:szCs w:val="32"/>
        </w:rPr>
        <w:t>5</w:t>
      </w:r>
      <w:r>
        <w:rPr>
          <w:rFonts w:hint="eastAsia" w:eastAsia="仿宋_GB2312"/>
          <w:b/>
          <w:bCs/>
          <w:sz w:val="32"/>
          <w:szCs w:val="32"/>
        </w:rPr>
        <w:t>.推进社会生活噪声污染控制。</w:t>
      </w:r>
      <w:r>
        <w:rPr>
          <w:rFonts w:hint="eastAsia" w:eastAsia="仿宋_GB2312"/>
          <w:bCs/>
          <w:sz w:val="32"/>
          <w:szCs w:val="32"/>
        </w:rPr>
        <w:t>积极推进噪声控制示范区建设，</w:t>
      </w:r>
      <w:r>
        <w:rPr>
          <w:rFonts w:hint="eastAsia" w:eastAsia="仿宋_GB2312"/>
          <w:sz w:val="32"/>
          <w:szCs w:val="32"/>
        </w:rPr>
        <w:t>加强对重要时段和敏感区域的噪声控制，严格执行社会生活环境噪声排放标准。加强广场、公园、街道等公共场所娱乐、集会等活动管理，合理限定活动范围、规模和音响设施的使用。</w:t>
      </w:r>
    </w:p>
    <w:p>
      <w:pPr>
        <w:keepNext/>
        <w:keepLines/>
        <w:spacing w:line="600" w:lineRule="exact"/>
        <w:ind w:firstLine="643" w:firstLineChars="200"/>
        <w:jc w:val="left"/>
        <w:outlineLvl w:val="1"/>
        <w:rPr>
          <w:rFonts w:eastAsia="楷体_GB2312"/>
          <w:b/>
          <w:bCs/>
          <w:sz w:val="32"/>
          <w:szCs w:val="32"/>
        </w:rPr>
      </w:pPr>
      <w:bookmarkStart w:id="115" w:name="_Toc87116154"/>
      <w:r>
        <w:rPr>
          <w:rFonts w:hint="eastAsia" w:eastAsia="楷体_GB2312" w:cs="宋体"/>
          <w:b/>
          <w:bCs/>
          <w:sz w:val="32"/>
          <w:szCs w:val="32"/>
        </w:rPr>
        <w:t>（五）</w:t>
      </w:r>
      <w:bookmarkStart w:id="116" w:name="_Toc74185421"/>
      <w:bookmarkStart w:id="117" w:name="_Toc12440"/>
      <w:bookmarkStart w:id="118" w:name="_Toc72152399"/>
      <w:bookmarkStart w:id="119" w:name="_Toc75857522"/>
      <w:bookmarkStart w:id="120" w:name="_Toc7386"/>
      <w:bookmarkStart w:id="121" w:name="_Toc29497"/>
      <w:r>
        <w:rPr>
          <w:rFonts w:hint="eastAsia" w:eastAsia="楷体_GB2312" w:cs="宋体"/>
          <w:b/>
          <w:bCs/>
          <w:sz w:val="32"/>
          <w:szCs w:val="32"/>
        </w:rPr>
        <w:t>加强农村生态环境保护</w:t>
      </w:r>
      <w:bookmarkEnd w:id="115"/>
      <w:bookmarkEnd w:id="116"/>
      <w:bookmarkEnd w:id="117"/>
      <w:bookmarkEnd w:id="118"/>
      <w:bookmarkEnd w:id="119"/>
      <w:bookmarkEnd w:id="120"/>
      <w:bookmarkEnd w:id="121"/>
    </w:p>
    <w:bookmarkEnd w:id="62"/>
    <w:bookmarkEnd w:id="63"/>
    <w:bookmarkEnd w:id="64"/>
    <w:bookmarkEnd w:id="65"/>
    <w:bookmarkEnd w:id="66"/>
    <w:bookmarkEnd w:id="67"/>
    <w:bookmarkEnd w:id="68"/>
    <w:bookmarkEnd w:id="69"/>
    <w:bookmarkEnd w:id="70"/>
    <w:bookmarkEnd w:id="71"/>
    <w:bookmarkEnd w:id="72"/>
    <w:bookmarkEnd w:id="73"/>
    <w:bookmarkEnd w:id="74"/>
    <w:bookmarkEnd w:id="114"/>
    <w:p>
      <w:pPr>
        <w:tabs>
          <w:tab w:val="left" w:pos="588"/>
        </w:tabs>
        <w:spacing w:line="600" w:lineRule="exact"/>
        <w:ind w:firstLine="643" w:firstLineChars="200"/>
        <w:rPr>
          <w:rFonts w:eastAsia="仿宋_GB2312"/>
          <w:bCs/>
          <w:sz w:val="32"/>
          <w:szCs w:val="32"/>
          <w:lang w:val="zh-CN"/>
        </w:rPr>
      </w:pPr>
      <w:r>
        <w:rPr>
          <w:rFonts w:eastAsia="仿宋_GB2312"/>
          <w:b/>
          <w:bCs/>
          <w:sz w:val="32"/>
          <w:szCs w:val="32"/>
        </w:rPr>
        <w:t>1</w:t>
      </w:r>
      <w:r>
        <w:rPr>
          <w:rFonts w:hint="eastAsia" w:eastAsia="仿宋_GB2312"/>
          <w:b/>
          <w:bCs/>
          <w:sz w:val="32"/>
          <w:szCs w:val="32"/>
        </w:rPr>
        <w:t>.深化农业农村环境治理。</w:t>
      </w:r>
      <w:r>
        <w:rPr>
          <w:rFonts w:hint="eastAsia" w:eastAsia="仿宋_GB2312"/>
          <w:bCs/>
          <w:sz w:val="32"/>
          <w:szCs w:val="32"/>
          <w:lang w:val="zh-CN"/>
        </w:rPr>
        <w:t>大力加强农村环保基础配套设施建设，促进农村污水治理力度。加大农村集中式污水处理设施的建设，完善已建立集中污水处理设施村镇的长效运维机制，提升污水处理设施运行效率。推进厕所革命和污水治理统筹兼顾。加强对农村黑臭水体的治理管控。按照因地制宜分类治理方式，靠近城镇、有条件的村庄，优先纳入城镇污水管网统一处理；居住分散、地形地貌复杂的村庄，优先采用分散处理与资源化利用的治理方式；人口集聚、利用空间不足、经济条件较好的村庄，采取集中治理达标排放的治理方式。至2025年，污水治理设施在行政村应全面覆盖，农户生活污水处理率不低于</w:t>
      </w:r>
      <w:r>
        <w:rPr>
          <w:rFonts w:hint="eastAsia" w:eastAsia="仿宋_GB2312"/>
          <w:bCs/>
          <w:sz w:val="32"/>
          <w:szCs w:val="32"/>
        </w:rPr>
        <w:t>98</w:t>
      </w:r>
      <w:r>
        <w:rPr>
          <w:rFonts w:hint="eastAsia" w:eastAsia="仿宋_GB2312"/>
          <w:bCs/>
          <w:sz w:val="32"/>
          <w:szCs w:val="32"/>
          <w:lang w:val="zh-CN"/>
        </w:rPr>
        <w:t>%。建立健全农村生活垃圾收运处置体系，推进农村生活垃圾分类。健全垃圾分类硬件与运行机制，在垃圾分类投放、分类收集、分类转运、分类处置每个子项之间实现机械化操作，实现垃圾收集处置基础设施全覆盖。按照“一岗双责”的要求，细化各级各部门在农村垃圾分类中的责任和任务。健全再生资源回收利用网络，盘活农村闲置“空心房”，建设兼具垃圾分类与再生资源回收功能的交投点和中转站，推进垃圾收运系统与再生资源回收利用系统的衔接。</w:t>
      </w:r>
    </w:p>
    <w:p>
      <w:pPr>
        <w:spacing w:line="600" w:lineRule="exact"/>
        <w:ind w:firstLine="643" w:firstLineChars="200"/>
        <w:rPr>
          <w:rFonts w:eastAsia="仿宋_GB2312"/>
          <w:bCs/>
          <w:sz w:val="32"/>
          <w:szCs w:val="32"/>
        </w:rPr>
      </w:pPr>
      <w:bookmarkStart w:id="122" w:name="_Toc74185422"/>
      <w:bookmarkStart w:id="123" w:name="_Toc72152400"/>
      <w:bookmarkStart w:id="124" w:name="_Toc75857523"/>
      <w:bookmarkStart w:id="125" w:name="_Toc10909"/>
      <w:bookmarkStart w:id="126" w:name="_Toc22177"/>
      <w:r>
        <w:rPr>
          <w:rFonts w:eastAsia="仿宋_GB2312"/>
          <w:b/>
          <w:bCs/>
          <w:sz w:val="32"/>
          <w:szCs w:val="32"/>
        </w:rPr>
        <w:t>2</w:t>
      </w:r>
      <w:r>
        <w:rPr>
          <w:rFonts w:hint="eastAsia" w:eastAsia="仿宋_GB2312"/>
          <w:b/>
          <w:bCs/>
          <w:sz w:val="32"/>
          <w:szCs w:val="32"/>
        </w:rPr>
        <w:t>.严格控制农村农业污染。</w:t>
      </w:r>
      <w:r>
        <w:rPr>
          <w:rFonts w:hint="eastAsia" w:eastAsia="仿宋_GB2312"/>
          <w:bCs/>
          <w:sz w:val="32"/>
          <w:szCs w:val="32"/>
        </w:rPr>
        <w:t>严格落实畜禽养殖产业布局规划，强化畜禽污染治理体系升级。积极开展畜禽(水产）养殖污染防治与严格禁养区管理，加大监管执法力度，依法处理违规畜禽养殖行为。畜禽养殖场因地制宜主推粪污专业化能源利用、污水肥料化利用、微生物发酵床、生态循环净化等模式，积极推广生物酶技术，提升治理与利用水平。扶持培育畜禽粪肥还田服务组织，支持绿色种养循环农业，打通种养循环堵点，促进粪肥还田。加强农村农药化肥污染防治。大力提倡使用绿肥、有机肥代替农药，提倡科学施肥、科学用药，推广采用生物农药和生物防治技术。推进农业废弃物回收利用，持续推进农药包装废弃物回收处置试点，设置中心归集点，建立村级回收点。加大农业废弃物的监督管理力度，抓好农用地膜废弃物回收，加快可降解地膜的示范推广，开展农田残膜回收示范。大力推进秸秆还田，拓展秸秆综合利用途径，实现秸秆效益最大化。</w:t>
      </w:r>
    </w:p>
    <w:bookmarkEnd w:id="42"/>
    <w:bookmarkEnd w:id="43"/>
    <w:bookmarkEnd w:id="122"/>
    <w:bookmarkEnd w:id="123"/>
    <w:bookmarkEnd w:id="124"/>
    <w:bookmarkEnd w:id="125"/>
    <w:bookmarkEnd w:id="126"/>
    <w:p>
      <w:pPr>
        <w:keepNext/>
        <w:keepLines/>
        <w:spacing w:before="312" w:beforeLines="100" w:after="312" w:afterLines="100" w:line="600" w:lineRule="exact"/>
        <w:ind w:firstLine="630" w:firstLineChars="196"/>
        <w:outlineLvl w:val="0"/>
        <w:rPr>
          <w:rFonts w:eastAsia="黑体"/>
          <w:b/>
          <w:bCs/>
          <w:kern w:val="44"/>
          <w:sz w:val="32"/>
          <w:szCs w:val="44"/>
        </w:rPr>
      </w:pPr>
      <w:bookmarkStart w:id="127" w:name="_Toc75857524"/>
      <w:bookmarkStart w:id="128" w:name="_Toc12760"/>
      <w:bookmarkStart w:id="129" w:name="_Toc87116155"/>
      <w:bookmarkStart w:id="130" w:name="_Toc45134628"/>
      <w:bookmarkStart w:id="131" w:name="_Toc72925743"/>
      <w:bookmarkStart w:id="132" w:name="_Toc48404748"/>
      <w:bookmarkStart w:id="133" w:name="_Toc45128963"/>
      <w:r>
        <w:rPr>
          <w:rFonts w:hint="eastAsia" w:eastAsia="黑体"/>
          <w:b/>
          <w:bCs/>
          <w:kern w:val="44"/>
          <w:sz w:val="32"/>
          <w:szCs w:val="44"/>
        </w:rPr>
        <w:t>六、</w:t>
      </w:r>
      <w:bookmarkEnd w:id="127"/>
      <w:bookmarkEnd w:id="128"/>
      <w:r>
        <w:rPr>
          <w:rFonts w:hint="eastAsia" w:eastAsia="黑体"/>
          <w:b/>
          <w:bCs/>
          <w:kern w:val="44"/>
          <w:sz w:val="32"/>
          <w:szCs w:val="44"/>
        </w:rPr>
        <w:t>解决突出环境问题、提升防控能力</w:t>
      </w:r>
      <w:bookmarkEnd w:id="129"/>
    </w:p>
    <w:p>
      <w:pPr>
        <w:keepNext/>
        <w:keepLines/>
        <w:spacing w:line="600" w:lineRule="exact"/>
        <w:ind w:firstLine="630" w:firstLineChars="196"/>
        <w:jc w:val="left"/>
        <w:outlineLvl w:val="1"/>
        <w:rPr>
          <w:rFonts w:eastAsia="楷体_GB2312"/>
          <w:b/>
          <w:bCs/>
          <w:sz w:val="32"/>
          <w:szCs w:val="32"/>
        </w:rPr>
      </w:pPr>
      <w:bookmarkStart w:id="134" w:name="_Toc75857529"/>
      <w:bookmarkStart w:id="135" w:name="_Toc87116156"/>
      <w:bookmarkStart w:id="136" w:name="_Toc16806"/>
      <w:r>
        <w:rPr>
          <w:rFonts w:hint="eastAsia" w:eastAsia="楷体_GB2312" w:cs="宋体"/>
          <w:b/>
          <w:bCs/>
          <w:sz w:val="32"/>
          <w:szCs w:val="32"/>
        </w:rPr>
        <w:t>（一）</w:t>
      </w:r>
      <w:bookmarkEnd w:id="134"/>
      <w:r>
        <w:rPr>
          <w:rFonts w:hint="eastAsia" w:eastAsia="楷体_GB2312" w:cs="宋体"/>
          <w:b/>
          <w:bCs/>
          <w:sz w:val="32"/>
          <w:szCs w:val="32"/>
        </w:rPr>
        <w:t>解决突出生态环境问题</w:t>
      </w:r>
      <w:bookmarkEnd w:id="135"/>
      <w:bookmarkEnd w:id="136"/>
    </w:p>
    <w:p>
      <w:pPr>
        <w:spacing w:line="600" w:lineRule="exact"/>
        <w:ind w:firstLine="640" w:firstLineChars="200"/>
        <w:rPr>
          <w:rFonts w:eastAsia="仿宋_GB2312"/>
          <w:bCs/>
          <w:sz w:val="32"/>
          <w:szCs w:val="32"/>
        </w:rPr>
      </w:pPr>
      <w:r>
        <w:rPr>
          <w:rFonts w:hint="eastAsia" w:eastAsia="仿宋_GB2312"/>
          <w:bCs/>
          <w:sz w:val="32"/>
          <w:szCs w:val="32"/>
        </w:rPr>
        <w:t>将中央、省生态环境保护督察及</w:t>
      </w:r>
      <w:r>
        <w:rPr>
          <w:rFonts w:eastAsia="仿宋_GB2312"/>
          <w:bCs/>
          <w:sz w:val="32"/>
          <w:szCs w:val="32"/>
        </w:rPr>
        <w:t>“</w:t>
      </w:r>
      <w:r>
        <w:rPr>
          <w:rFonts w:hint="eastAsia" w:eastAsia="仿宋_GB2312"/>
          <w:bCs/>
          <w:sz w:val="32"/>
          <w:szCs w:val="32"/>
        </w:rPr>
        <w:t>回头看</w:t>
      </w:r>
      <w:r>
        <w:rPr>
          <w:rFonts w:eastAsia="仿宋_GB2312"/>
          <w:bCs/>
          <w:sz w:val="32"/>
          <w:szCs w:val="32"/>
        </w:rPr>
        <w:t>”</w:t>
      </w:r>
      <w:r>
        <w:rPr>
          <w:rFonts w:hint="eastAsia" w:eastAsia="仿宋_GB2312"/>
          <w:bCs/>
          <w:sz w:val="32"/>
          <w:szCs w:val="32"/>
        </w:rPr>
        <w:t>反馈问题、全国人大常委会专项执法指出问题、审计及巡察反馈的生态环境问题、省生态环境警示片和省日常督察交办的问题等一并纳入突出环境问题整改，统一调度、一体推进。提高政治站位，将生态环境问题整改统一到习近平生态文明思想上来，把绿水青山这篇文章做细做实；各政府部门压实整改责任，确保在规定时间内完成任务；认真对标对表，进一步完善和优化整改方案。对于能调规、能办手续的，完善相关手续；对于确属违法违规的，必须决依法查处；加强对辖区自然保护地突出生态环境问题整改情况的督办，并及时将整改销号情况报督导组。</w:t>
      </w:r>
    </w:p>
    <w:p>
      <w:pPr>
        <w:keepNext/>
        <w:keepLines/>
        <w:spacing w:line="600" w:lineRule="exact"/>
        <w:ind w:firstLine="630" w:firstLineChars="196"/>
        <w:jc w:val="left"/>
        <w:outlineLvl w:val="1"/>
        <w:rPr>
          <w:rFonts w:eastAsia="楷体_GB2312"/>
          <w:b/>
          <w:bCs/>
          <w:sz w:val="32"/>
          <w:szCs w:val="32"/>
        </w:rPr>
      </w:pPr>
      <w:bookmarkStart w:id="137" w:name="_Toc24820"/>
      <w:bookmarkStart w:id="138" w:name="_Toc75857525"/>
      <w:bookmarkStart w:id="139" w:name="_Toc87116157"/>
      <w:bookmarkStart w:id="140" w:name="_Toc14989"/>
      <w:r>
        <w:rPr>
          <w:rFonts w:hint="eastAsia" w:eastAsia="楷体_GB2312" w:cs="宋体"/>
          <w:b/>
          <w:bCs/>
          <w:sz w:val="32"/>
          <w:szCs w:val="32"/>
        </w:rPr>
        <w:t>（二）</w:t>
      </w:r>
      <w:bookmarkEnd w:id="137"/>
      <w:bookmarkEnd w:id="138"/>
      <w:r>
        <w:rPr>
          <w:rFonts w:hint="eastAsia" w:eastAsia="楷体_GB2312" w:cs="宋体"/>
          <w:b/>
          <w:bCs/>
          <w:sz w:val="32"/>
          <w:szCs w:val="32"/>
        </w:rPr>
        <w:t>加强环境风险预警与应急处置</w:t>
      </w:r>
      <w:bookmarkEnd w:id="139"/>
      <w:bookmarkEnd w:id="140"/>
    </w:p>
    <w:p>
      <w:pPr>
        <w:spacing w:line="600" w:lineRule="exact"/>
        <w:ind w:firstLine="643" w:firstLineChars="200"/>
        <w:rPr>
          <w:rFonts w:eastAsia="仿宋_GB2312"/>
          <w:bCs/>
          <w:sz w:val="32"/>
          <w:szCs w:val="32"/>
        </w:rPr>
      </w:pPr>
      <w:bookmarkStart w:id="141" w:name="_Toc25420"/>
      <w:r>
        <w:rPr>
          <w:rFonts w:hint="eastAsia" w:eastAsia="仿宋_GB2312"/>
          <w:b/>
          <w:sz w:val="32"/>
          <w:szCs w:val="32"/>
        </w:rPr>
        <w:t>1.建立健全的水环境应急管理体系。</w:t>
      </w:r>
      <w:r>
        <w:rPr>
          <w:rFonts w:hint="eastAsia" w:eastAsia="仿宋_GB2312"/>
          <w:bCs/>
          <w:sz w:val="32"/>
          <w:szCs w:val="32"/>
        </w:rPr>
        <w:t>建立从水源到饮用水安全的全过程监管和信息公开机制。完成靳江、沩水等流域集中式饮用水水源保护区规范化建设，建立饮用水水源地风险防范体系，建设应急备用水源，保障应急生活供水，配建应急备用水源取水设施和输水管道。建设污水处理的应急处理处置体系。加强市政排污排渍对饮用水源的污染风险评估，科学合理安排排渍排涝。</w:t>
      </w:r>
    </w:p>
    <w:p>
      <w:pPr>
        <w:spacing w:line="600" w:lineRule="exact"/>
        <w:ind w:firstLine="643" w:firstLineChars="200"/>
        <w:rPr>
          <w:rFonts w:eastAsia="仿宋_GB2312"/>
          <w:bCs/>
          <w:sz w:val="32"/>
          <w:szCs w:val="32"/>
        </w:rPr>
      </w:pPr>
      <w:r>
        <w:rPr>
          <w:rFonts w:hint="eastAsia" w:eastAsia="仿宋_GB2312"/>
          <w:b/>
          <w:sz w:val="32"/>
          <w:szCs w:val="32"/>
        </w:rPr>
        <w:t>2.加强环境风险预警防控。</w:t>
      </w:r>
      <w:r>
        <w:rPr>
          <w:rFonts w:hint="eastAsia" w:eastAsia="仿宋_GB2312"/>
          <w:bCs/>
          <w:sz w:val="32"/>
          <w:szCs w:val="32"/>
        </w:rPr>
        <w:t>加强涉危涉重企业、化工园区、集中式饮用水水源地及重点流域环境风险调查评估，实施分类分级风险管控，协同推进重点区域流域生态环境污染综合防治、风险防控与生态恢复，建设水源地水质在线生物预警系统，建设水环境风险预警平台。</w:t>
      </w:r>
    </w:p>
    <w:p>
      <w:pPr>
        <w:spacing w:line="600" w:lineRule="exact"/>
        <w:ind w:firstLine="643" w:firstLineChars="200"/>
        <w:rPr>
          <w:rFonts w:eastAsia="仿宋_GB2312"/>
          <w:bCs/>
          <w:sz w:val="32"/>
          <w:szCs w:val="32"/>
        </w:rPr>
      </w:pPr>
      <w:r>
        <w:rPr>
          <w:rFonts w:hint="eastAsia" w:eastAsia="仿宋_GB2312"/>
          <w:b/>
          <w:sz w:val="32"/>
          <w:szCs w:val="32"/>
        </w:rPr>
        <w:t>3.提升环境应急处置和基础保障水平。</w:t>
      </w:r>
      <w:r>
        <w:rPr>
          <w:rFonts w:hint="eastAsia" w:eastAsia="仿宋_GB2312"/>
          <w:bCs/>
          <w:sz w:val="32"/>
          <w:szCs w:val="32"/>
        </w:rPr>
        <w:t>实施企业环境应急预案电子化备案，实现涉危涉重企业电子化备案全覆盖，依法依规开展各类突发环境事件应急预案修编。健全多层级、网络化环境应急物资储备体系，建设环境应急物资储备库，建立环境应急物资信息管理系统。完善</w:t>
      </w:r>
      <w:bookmarkStart w:id="142" w:name="OLE_LINK5"/>
      <w:r>
        <w:rPr>
          <w:rFonts w:hint="eastAsia" w:eastAsia="仿宋_GB2312"/>
          <w:bCs/>
          <w:sz w:val="32"/>
          <w:szCs w:val="32"/>
        </w:rPr>
        <w:t>平战结合、区域联动的环境应急监测体系</w:t>
      </w:r>
      <w:bookmarkEnd w:id="142"/>
      <w:r>
        <w:rPr>
          <w:rFonts w:hint="eastAsia" w:eastAsia="仿宋_GB2312"/>
          <w:bCs/>
          <w:sz w:val="32"/>
          <w:szCs w:val="32"/>
        </w:rPr>
        <w:t>。</w:t>
      </w:r>
    </w:p>
    <w:p>
      <w:pPr>
        <w:spacing w:line="600" w:lineRule="exact"/>
        <w:ind w:firstLine="643" w:firstLineChars="200"/>
        <w:rPr>
          <w:rFonts w:eastAsia="仿宋_GB2312"/>
          <w:bCs/>
          <w:sz w:val="32"/>
          <w:szCs w:val="32"/>
        </w:rPr>
      </w:pPr>
      <w:r>
        <w:rPr>
          <w:rFonts w:hint="eastAsia" w:eastAsia="仿宋_GB2312"/>
          <w:b/>
          <w:sz w:val="32"/>
          <w:szCs w:val="32"/>
        </w:rPr>
        <w:t>4.加强重点风险源环境监管。</w:t>
      </w:r>
      <w:r>
        <w:rPr>
          <w:rFonts w:hint="eastAsia" w:eastAsia="仿宋_GB2312"/>
          <w:bCs/>
          <w:sz w:val="32"/>
          <w:szCs w:val="32"/>
        </w:rPr>
        <w:t>深入实施污染物的全过程污染防控，做好环境监管，完善环境预警应急系统，防患突发环境事件发生。统筹考虑危险废物、危险化学品、重金属、持久性有机物、核与辐射等生态环境风险要素，“防”与“控”并重，进一步夯实环境风险防控基础，全面建立“事前、事中、事后”全过程、多层级环境风险防范和应急处置体系，务实生态环境监测和预警能力建设和技术储备，保障全市生态环境安全。</w:t>
      </w:r>
    </w:p>
    <w:p>
      <w:pPr>
        <w:keepNext/>
        <w:keepLines/>
        <w:spacing w:line="600" w:lineRule="exact"/>
        <w:ind w:firstLine="472" w:firstLineChars="147"/>
        <w:jc w:val="left"/>
        <w:outlineLvl w:val="1"/>
        <w:rPr>
          <w:rFonts w:eastAsia="楷体_GB2312"/>
          <w:b/>
          <w:bCs/>
          <w:sz w:val="32"/>
          <w:szCs w:val="32"/>
        </w:rPr>
      </w:pPr>
      <w:bookmarkStart w:id="143" w:name="_Toc75857526"/>
      <w:bookmarkStart w:id="144" w:name="_Toc26879"/>
      <w:bookmarkStart w:id="145" w:name="_Toc87116158"/>
      <w:r>
        <w:rPr>
          <w:rFonts w:hint="eastAsia" w:eastAsia="楷体_GB2312" w:cs="宋体"/>
          <w:b/>
          <w:bCs/>
          <w:sz w:val="32"/>
          <w:szCs w:val="32"/>
        </w:rPr>
        <w:t>（三）</w:t>
      </w:r>
      <w:bookmarkEnd w:id="141"/>
      <w:bookmarkEnd w:id="143"/>
      <w:bookmarkEnd w:id="144"/>
      <w:r>
        <w:rPr>
          <w:rFonts w:hint="eastAsia" w:eastAsia="楷体_GB2312" w:cs="宋体"/>
          <w:b/>
          <w:bCs/>
          <w:sz w:val="32"/>
          <w:szCs w:val="32"/>
        </w:rPr>
        <w:t>加强危废及医疗废物管控</w:t>
      </w:r>
      <w:bookmarkEnd w:id="145"/>
    </w:p>
    <w:p>
      <w:pPr>
        <w:spacing w:line="580" w:lineRule="exact"/>
        <w:ind w:firstLine="643" w:firstLineChars="200"/>
        <w:rPr>
          <w:rFonts w:eastAsia="仿宋"/>
          <w:sz w:val="32"/>
          <w:szCs w:val="32"/>
        </w:rPr>
      </w:pPr>
      <w:r>
        <w:rPr>
          <w:rFonts w:hint="eastAsia" w:eastAsia="仿宋"/>
          <w:b/>
          <w:bCs/>
          <w:sz w:val="32"/>
          <w:szCs w:val="32"/>
        </w:rPr>
        <w:t>1.</w:t>
      </w:r>
      <w:r>
        <w:rPr>
          <w:rFonts w:hint="eastAsia" w:eastAsia="仿宋_GB2312"/>
          <w:b/>
          <w:sz w:val="32"/>
          <w:szCs w:val="32"/>
        </w:rPr>
        <w:t>严格落实危险废物转移监督，加强新型污染物防控。</w:t>
      </w:r>
      <w:r>
        <w:rPr>
          <w:rFonts w:hint="eastAsia" w:eastAsia="仿宋_GB2312"/>
          <w:bCs/>
          <w:sz w:val="32"/>
          <w:szCs w:val="32"/>
        </w:rPr>
        <w:t>不定期对涉危废单位的危险废物转移情况进行核查，督促企业规范建立危险废物</w:t>
      </w:r>
      <w:r>
        <w:rPr>
          <w:rFonts w:hint="eastAsia" w:eastAsia="仿宋_GB2312"/>
          <w:bCs/>
          <w:sz w:val="32"/>
          <w:szCs w:val="32"/>
          <w:lang w:eastAsia="zh-CN"/>
        </w:rPr>
        <w:t>管理台账</w:t>
      </w:r>
      <w:r>
        <w:rPr>
          <w:rFonts w:hint="eastAsia" w:eastAsia="仿宋_GB2312"/>
          <w:bCs/>
          <w:sz w:val="32"/>
          <w:szCs w:val="32"/>
        </w:rPr>
        <w:t>，采取有效措施防止危险废物超期贮存。对废弃电池等新型污染源实施生产者责任延伸制度，鼓励园区、企业建设无害化处理设施，严厉打击超期贮存、非法转移、处置危险废弃物的违法犯罪行为。</w:t>
      </w:r>
    </w:p>
    <w:p>
      <w:pPr>
        <w:spacing w:line="580" w:lineRule="exact"/>
        <w:ind w:firstLine="643" w:firstLineChars="200"/>
        <w:rPr>
          <w:rFonts w:eastAsia="仿宋"/>
          <w:sz w:val="32"/>
          <w:szCs w:val="32"/>
        </w:rPr>
      </w:pPr>
      <w:r>
        <w:rPr>
          <w:rFonts w:hint="eastAsia" w:eastAsia="仿宋"/>
          <w:b/>
          <w:bCs/>
          <w:sz w:val="32"/>
          <w:szCs w:val="32"/>
        </w:rPr>
        <w:t>2.</w:t>
      </w:r>
      <w:r>
        <w:rPr>
          <w:rFonts w:hint="eastAsia" w:eastAsia="仿宋_GB2312"/>
          <w:b/>
          <w:sz w:val="32"/>
          <w:szCs w:val="32"/>
        </w:rPr>
        <w:t>减少危险废物产生量，提高综合利用率。</w:t>
      </w:r>
      <w:r>
        <w:rPr>
          <w:rFonts w:hint="eastAsia" w:eastAsia="仿宋_GB2312"/>
          <w:bCs/>
          <w:sz w:val="32"/>
          <w:szCs w:val="32"/>
        </w:rPr>
        <w:t>规范危险废物处理措施，强化废氧化汞电池、镍镉电池、铅酸蓄电池和含汞荧光灯管、温度计等含重金属废物的安全处置与回收利用。产生的危险固废交由具有相关危险废物处置资格的单位处置，建立完善的废旧电子资源回收体系。</w:t>
      </w:r>
    </w:p>
    <w:p>
      <w:pPr>
        <w:spacing w:line="580" w:lineRule="exact"/>
        <w:ind w:firstLine="643" w:firstLineChars="200"/>
        <w:rPr>
          <w:rFonts w:eastAsia="仿宋_GB2312"/>
          <w:sz w:val="32"/>
          <w:szCs w:val="32"/>
        </w:rPr>
      </w:pPr>
      <w:r>
        <w:rPr>
          <w:rFonts w:hint="eastAsia" w:eastAsia="仿宋"/>
          <w:b/>
          <w:bCs/>
          <w:sz w:val="32"/>
          <w:szCs w:val="32"/>
        </w:rPr>
        <w:t>3.</w:t>
      </w:r>
      <w:r>
        <w:rPr>
          <w:rFonts w:hint="eastAsia" w:eastAsia="仿宋_GB2312"/>
          <w:b/>
          <w:sz w:val="32"/>
          <w:szCs w:val="32"/>
        </w:rPr>
        <w:t>加强医废监督，防止流失倒卖。</w:t>
      </w:r>
      <w:r>
        <w:rPr>
          <w:rFonts w:hint="eastAsia" w:eastAsia="仿宋_GB2312"/>
          <w:bCs/>
          <w:sz w:val="32"/>
          <w:szCs w:val="32"/>
        </w:rPr>
        <w:t>规范医疗卫生机构医疗废物内容收集和贮存，完善医疗废物收集运输体系，定期评估医疗废物集中处置设施运行性能及污染防治措施执行情况，及时升级和整改不能稳定达标排放的处置设施，加强收集体系建设，实现辖区内医疗废物统一收集、统一处置，实行委托处理的办法。</w:t>
      </w:r>
    </w:p>
    <w:bookmarkEnd w:id="130"/>
    <w:bookmarkEnd w:id="131"/>
    <w:bookmarkEnd w:id="132"/>
    <w:bookmarkEnd w:id="133"/>
    <w:p>
      <w:pPr>
        <w:keepNext/>
        <w:keepLines/>
        <w:spacing w:before="156" w:beforeLines="50" w:after="156" w:afterLines="50" w:line="360" w:lineRule="auto"/>
        <w:ind w:firstLine="643" w:firstLineChars="200"/>
        <w:jc w:val="left"/>
        <w:outlineLvl w:val="0"/>
        <w:rPr>
          <w:rFonts w:eastAsia="黑体"/>
          <w:b/>
          <w:kern w:val="44"/>
          <w:sz w:val="32"/>
          <w:szCs w:val="32"/>
        </w:rPr>
      </w:pPr>
      <w:bookmarkStart w:id="146" w:name="_Toc87116159"/>
      <w:bookmarkStart w:id="147" w:name="_Toc3606"/>
      <w:bookmarkStart w:id="148" w:name="_Toc72925752"/>
      <w:r>
        <w:rPr>
          <w:rFonts w:hint="eastAsia" w:eastAsia="黑体"/>
          <w:b/>
          <w:kern w:val="44"/>
          <w:sz w:val="32"/>
          <w:szCs w:val="32"/>
        </w:rPr>
        <w:t>七、完善管理体系，提升治理能力</w:t>
      </w:r>
      <w:bookmarkEnd w:id="146"/>
      <w:bookmarkEnd w:id="147"/>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49" w:name="_Toc5504"/>
      <w:bookmarkStart w:id="150" w:name="_Toc72925744"/>
      <w:bookmarkStart w:id="151" w:name="_Toc87116160"/>
      <w:r>
        <w:rPr>
          <w:rFonts w:hint="eastAsia" w:eastAsia="楷体_GB2312"/>
          <w:b/>
          <w:bCs/>
          <w:kern w:val="0"/>
          <w:sz w:val="32"/>
          <w:szCs w:val="32"/>
        </w:rPr>
        <w:t>（一）健全党政部门责任体系</w:t>
      </w:r>
      <w:bookmarkEnd w:id="149"/>
      <w:bookmarkEnd w:id="150"/>
      <w:bookmarkEnd w:id="151"/>
    </w:p>
    <w:p>
      <w:pPr>
        <w:spacing w:line="360" w:lineRule="auto"/>
        <w:ind w:firstLine="643" w:firstLineChars="200"/>
        <w:rPr>
          <w:rFonts w:eastAsia="仿宋_GB2312"/>
          <w:bCs/>
          <w:sz w:val="32"/>
          <w:szCs w:val="32"/>
          <w:lang w:val="zh-CN"/>
        </w:rPr>
      </w:pPr>
      <w:r>
        <w:rPr>
          <w:rFonts w:hint="eastAsia" w:eastAsia="仿宋_GB2312"/>
          <w:b/>
          <w:sz w:val="32"/>
          <w:szCs w:val="32"/>
        </w:rPr>
        <w:t>1.</w:t>
      </w:r>
      <w:r>
        <w:rPr>
          <w:rFonts w:hint="eastAsia" w:eastAsia="仿宋_GB2312"/>
          <w:b/>
          <w:sz w:val="32"/>
          <w:szCs w:val="32"/>
          <w:lang w:val="zh-CN"/>
        </w:rPr>
        <w:t>制定实施生态环境保护责任清单。</w:t>
      </w:r>
      <w:r>
        <w:rPr>
          <w:rFonts w:hint="eastAsia" w:eastAsia="仿宋_GB2312"/>
          <w:bCs/>
          <w:sz w:val="32"/>
          <w:szCs w:val="32"/>
          <w:lang w:val="zh-CN"/>
        </w:rPr>
        <w:t>强化生态环境部门统一监管和各职能部门分工负责的环境管理机制，完善“市—乡镇—村”三级一体化监管的环境保护工作体系。加强基层环保机构建设，夯实乡镇环保机构。深入推进“厕所革命”，推行市域农村垃圾和污水治理的标准化，深入推进城镇垃圾污水处理设施和服务向农村延伸。完善乡村保洁制度，推行垃圾就地分类减量和资源回收利用。</w:t>
      </w:r>
    </w:p>
    <w:p>
      <w:pPr>
        <w:spacing w:line="360" w:lineRule="auto"/>
        <w:ind w:firstLine="643" w:firstLineChars="200"/>
        <w:rPr>
          <w:rFonts w:eastAsia="仿宋_GB2312"/>
          <w:bCs/>
          <w:sz w:val="32"/>
          <w:szCs w:val="32"/>
          <w:lang w:val="zh-CN"/>
        </w:rPr>
      </w:pPr>
      <w:r>
        <w:rPr>
          <w:rFonts w:hint="eastAsia" w:eastAsia="仿宋_GB2312"/>
          <w:b/>
          <w:sz w:val="32"/>
          <w:szCs w:val="32"/>
        </w:rPr>
        <w:t>2.</w:t>
      </w:r>
      <w:r>
        <w:rPr>
          <w:rFonts w:hint="eastAsia" w:eastAsia="仿宋_GB2312"/>
          <w:b/>
          <w:sz w:val="32"/>
          <w:szCs w:val="32"/>
          <w:lang w:val="zh-CN"/>
        </w:rPr>
        <w:t>深入落实考核和责任终身追究机制。</w:t>
      </w:r>
      <w:r>
        <w:rPr>
          <w:rFonts w:hint="eastAsia" w:eastAsia="仿宋_GB2312"/>
          <w:bCs/>
          <w:sz w:val="32"/>
          <w:szCs w:val="32"/>
          <w:lang w:val="zh-CN"/>
        </w:rPr>
        <w:t>严格实行生态环境损害责任终身追究制度，对完成环保目标任务不好的、对突出环境问题长期得不到解决的、环境质量恶化的、干预环境执法的、因决策失误、监管不力造成重大环境污染事故和严重不良社会影响的，依法严肃追究政府、企业相关责任人的责任</w:t>
      </w:r>
      <w:r>
        <w:rPr>
          <w:rFonts w:hint="eastAsia" w:eastAsia="仿宋_GB2312"/>
          <w:bCs/>
          <w:sz w:val="32"/>
          <w:szCs w:val="32"/>
        </w:rPr>
        <w:t>，同时</w:t>
      </w:r>
      <w:r>
        <w:rPr>
          <w:rFonts w:hint="eastAsia" w:eastAsia="仿宋_GB2312"/>
          <w:bCs/>
          <w:sz w:val="32"/>
          <w:szCs w:val="32"/>
          <w:lang w:val="zh-CN"/>
        </w:rPr>
        <w:t>建立倒查机制，重点倒查责任人事前预防是否到位、事中处置是否得当、事后整改是否认真彻底以及效果是否明显等。</w:t>
      </w:r>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52" w:name="_Toc87116161"/>
      <w:bookmarkStart w:id="153" w:name="_Toc72925745"/>
      <w:bookmarkStart w:id="154" w:name="_Toc5938"/>
      <w:r>
        <w:rPr>
          <w:rFonts w:hint="eastAsia" w:eastAsia="楷体_GB2312"/>
          <w:b/>
          <w:bCs/>
          <w:kern w:val="0"/>
          <w:sz w:val="32"/>
          <w:szCs w:val="32"/>
        </w:rPr>
        <w:t>（二）健全企业责任体系</w:t>
      </w:r>
      <w:bookmarkEnd w:id="152"/>
      <w:bookmarkEnd w:id="153"/>
      <w:bookmarkEnd w:id="154"/>
    </w:p>
    <w:p>
      <w:pPr>
        <w:spacing w:line="360" w:lineRule="auto"/>
        <w:ind w:firstLine="643" w:firstLineChars="200"/>
        <w:rPr>
          <w:rFonts w:eastAsia="仿宋_GB2312"/>
          <w:bCs/>
          <w:sz w:val="32"/>
          <w:szCs w:val="32"/>
          <w:lang w:val="zh-CN"/>
        </w:rPr>
      </w:pPr>
      <w:r>
        <w:rPr>
          <w:rFonts w:hint="eastAsia" w:eastAsia="仿宋_GB2312"/>
          <w:b/>
          <w:sz w:val="32"/>
          <w:szCs w:val="32"/>
        </w:rPr>
        <w:t>1.</w:t>
      </w:r>
      <w:r>
        <w:rPr>
          <w:rFonts w:hint="eastAsia" w:eastAsia="仿宋_GB2312"/>
          <w:b/>
          <w:sz w:val="32"/>
          <w:szCs w:val="32"/>
          <w:lang w:val="zh-CN"/>
        </w:rPr>
        <w:t>提高企业治污能力。</w:t>
      </w:r>
      <w:r>
        <w:rPr>
          <w:rFonts w:hint="eastAsia" w:eastAsia="仿宋_GB2312"/>
          <w:bCs/>
          <w:sz w:val="32"/>
          <w:szCs w:val="32"/>
          <w:lang w:val="zh-CN"/>
        </w:rPr>
        <w:t>企业应积极践行绿色生产方式，优化原料投入，大力开展技术创新，加大清洁生产推行力度，加强全过程管理，减少污染物排放。</w:t>
      </w:r>
    </w:p>
    <w:p>
      <w:pPr>
        <w:spacing w:line="360" w:lineRule="auto"/>
        <w:ind w:firstLine="643" w:firstLineChars="200"/>
        <w:rPr>
          <w:rFonts w:eastAsia="仿宋_GB2312"/>
          <w:bCs/>
          <w:sz w:val="32"/>
          <w:szCs w:val="32"/>
          <w:lang w:val="zh-CN"/>
        </w:rPr>
      </w:pPr>
      <w:r>
        <w:rPr>
          <w:rFonts w:hint="eastAsia" w:eastAsia="仿宋_GB2312"/>
          <w:b/>
          <w:sz w:val="32"/>
          <w:szCs w:val="32"/>
        </w:rPr>
        <w:t>2.</w:t>
      </w:r>
      <w:r>
        <w:rPr>
          <w:rFonts w:hint="eastAsia" w:eastAsia="仿宋_GB2312"/>
          <w:b/>
          <w:sz w:val="32"/>
          <w:szCs w:val="32"/>
          <w:lang w:val="zh-CN"/>
        </w:rPr>
        <w:t>公开环境治理信息。</w:t>
      </w:r>
      <w:r>
        <w:rPr>
          <w:rFonts w:hint="eastAsia" w:eastAsia="仿宋_GB2312"/>
          <w:bCs/>
          <w:sz w:val="32"/>
          <w:szCs w:val="32"/>
          <w:lang w:val="zh-CN"/>
        </w:rPr>
        <w:t>排污单位应通过政府搭建的排污许可管理信息平台或企业自身网站等途径在保证信息真实性的基础上依法公开主要污染物名称、排放方式、执行标准以及污染防治设施建设和运行情况等信息。</w:t>
      </w:r>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55" w:name="_Toc72925746"/>
      <w:bookmarkStart w:id="156" w:name="_Toc87116162"/>
      <w:bookmarkStart w:id="157" w:name="_Toc5310"/>
      <w:r>
        <w:rPr>
          <w:rFonts w:hint="eastAsia" w:eastAsia="楷体_GB2312"/>
          <w:b/>
          <w:bCs/>
          <w:kern w:val="0"/>
          <w:sz w:val="32"/>
          <w:szCs w:val="32"/>
        </w:rPr>
        <w:t>（三）健全全民行动体系</w:t>
      </w:r>
      <w:bookmarkEnd w:id="155"/>
      <w:bookmarkEnd w:id="156"/>
      <w:bookmarkEnd w:id="157"/>
    </w:p>
    <w:p>
      <w:pPr>
        <w:spacing w:line="360" w:lineRule="auto"/>
        <w:ind w:firstLine="643" w:firstLineChars="200"/>
        <w:rPr>
          <w:rFonts w:eastAsia="仿宋_GB2312"/>
          <w:bCs/>
          <w:sz w:val="32"/>
          <w:szCs w:val="32"/>
          <w:lang w:val="zh-CN"/>
        </w:rPr>
      </w:pPr>
      <w:r>
        <w:rPr>
          <w:rFonts w:hint="eastAsia" w:eastAsia="仿宋_GB2312"/>
          <w:b/>
          <w:sz w:val="32"/>
          <w:szCs w:val="32"/>
        </w:rPr>
        <w:t>1.</w:t>
      </w:r>
      <w:r>
        <w:rPr>
          <w:rFonts w:hint="eastAsia" w:eastAsia="仿宋_GB2312"/>
          <w:b/>
          <w:sz w:val="32"/>
          <w:szCs w:val="32"/>
          <w:lang w:val="zh-CN"/>
        </w:rPr>
        <w:t>强化社会监督。</w:t>
      </w:r>
      <w:r>
        <w:rPr>
          <w:rFonts w:hint="eastAsia" w:eastAsia="仿宋_GB2312"/>
          <w:bCs/>
          <w:sz w:val="32"/>
          <w:szCs w:val="32"/>
          <w:lang w:val="zh-CN"/>
        </w:rPr>
        <w:t>充分发挥“12369”、“1</w:t>
      </w:r>
      <w:r>
        <w:rPr>
          <w:rFonts w:eastAsia="仿宋_GB2312"/>
          <w:bCs/>
          <w:sz w:val="32"/>
          <w:szCs w:val="32"/>
          <w:lang w:val="zh-CN"/>
        </w:rPr>
        <w:t>2345</w:t>
      </w:r>
      <w:r>
        <w:rPr>
          <w:rFonts w:hint="eastAsia" w:eastAsia="仿宋_GB2312"/>
          <w:bCs/>
          <w:sz w:val="32"/>
          <w:szCs w:val="32"/>
          <w:lang w:val="zh-CN"/>
        </w:rPr>
        <w:t>”市民热线、市长信箱、宁乡政府在线等渠道的监督作用，引导公民对破坏环境行为进行举报，鼓励引导公众参与规划环评工作。</w:t>
      </w:r>
    </w:p>
    <w:p>
      <w:pPr>
        <w:spacing w:line="360" w:lineRule="auto"/>
        <w:ind w:firstLine="643" w:firstLineChars="200"/>
        <w:rPr>
          <w:rFonts w:eastAsia="仿宋_GB2312"/>
          <w:bCs/>
          <w:sz w:val="32"/>
          <w:szCs w:val="32"/>
          <w:lang w:val="zh-CN"/>
        </w:rPr>
      </w:pPr>
      <w:r>
        <w:rPr>
          <w:rFonts w:hint="eastAsia" w:eastAsia="仿宋_GB2312"/>
          <w:b/>
          <w:sz w:val="32"/>
          <w:szCs w:val="32"/>
        </w:rPr>
        <w:t>2.</w:t>
      </w:r>
      <w:r>
        <w:rPr>
          <w:rFonts w:hint="eastAsia" w:eastAsia="仿宋_GB2312"/>
          <w:b/>
          <w:sz w:val="32"/>
          <w:szCs w:val="32"/>
          <w:lang w:val="zh-CN"/>
        </w:rPr>
        <w:t>规范环保公益组织的发展。</w:t>
      </w:r>
      <w:r>
        <w:rPr>
          <w:rFonts w:hint="eastAsia" w:eastAsia="仿宋_GB2312"/>
          <w:bCs/>
          <w:sz w:val="32"/>
          <w:szCs w:val="32"/>
          <w:lang w:val="zh-CN"/>
        </w:rPr>
        <w:t>加大对环保公益组织的帮扶力度，制定符合宁乡实际的扶持发展环保组织的政策，明确环保组织的地位、作用，同时加强对环保组织人才队伍的建设等支持力度</w:t>
      </w:r>
      <w:r>
        <w:rPr>
          <w:rFonts w:hint="eastAsia" w:eastAsia="仿宋_GB2312"/>
          <w:bCs/>
          <w:sz w:val="32"/>
          <w:szCs w:val="32"/>
        </w:rPr>
        <w:t>，</w:t>
      </w:r>
      <w:r>
        <w:rPr>
          <w:rFonts w:hint="eastAsia" w:eastAsia="仿宋_GB2312"/>
          <w:bCs/>
          <w:sz w:val="32"/>
          <w:szCs w:val="32"/>
          <w:lang w:val="zh-CN"/>
        </w:rPr>
        <w:t>引导社会组织参与环境治理监督。</w:t>
      </w:r>
    </w:p>
    <w:p>
      <w:pPr>
        <w:spacing w:line="360" w:lineRule="auto"/>
        <w:ind w:firstLine="643" w:firstLineChars="200"/>
        <w:rPr>
          <w:rFonts w:eastAsia="仿宋_GB2312"/>
          <w:bCs/>
          <w:sz w:val="32"/>
          <w:szCs w:val="32"/>
          <w:lang w:val="zh-CN"/>
        </w:rPr>
      </w:pPr>
      <w:r>
        <w:rPr>
          <w:rFonts w:hint="eastAsia" w:eastAsia="仿宋_GB2312"/>
          <w:b/>
          <w:sz w:val="32"/>
          <w:szCs w:val="32"/>
        </w:rPr>
        <w:t>3.</w:t>
      </w:r>
      <w:r>
        <w:rPr>
          <w:rFonts w:hint="eastAsia" w:eastAsia="仿宋_GB2312"/>
          <w:b/>
          <w:sz w:val="32"/>
          <w:szCs w:val="32"/>
          <w:lang w:val="zh-CN"/>
        </w:rPr>
        <w:t>提高公民环保素养。</w:t>
      </w:r>
      <w:r>
        <w:rPr>
          <w:rFonts w:hint="eastAsia" w:eastAsia="仿宋_GB2312"/>
          <w:bCs/>
          <w:sz w:val="32"/>
          <w:szCs w:val="32"/>
          <w:lang w:val="zh-CN"/>
        </w:rPr>
        <w:t>把环境保护纳入国民教育体系和党政领导干部培训体系，推进环境保护宣传教育进学校、进家庭、进社区、进工厂、进机关，在中小学校开展绿色学校创建活动，在政府机关、企事业单位设立生态环境监督员。</w:t>
      </w:r>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58" w:name="_Toc72925747"/>
      <w:bookmarkStart w:id="159" w:name="_Toc87116163"/>
      <w:bookmarkStart w:id="160" w:name="_Toc29928"/>
      <w:r>
        <w:rPr>
          <w:rFonts w:hint="eastAsia" w:eastAsia="楷体_GB2312"/>
          <w:b/>
          <w:bCs/>
          <w:kern w:val="0"/>
          <w:sz w:val="32"/>
          <w:szCs w:val="32"/>
        </w:rPr>
        <w:t>（四）健全法律法规政策体系</w:t>
      </w:r>
      <w:bookmarkEnd w:id="158"/>
      <w:bookmarkEnd w:id="159"/>
      <w:bookmarkEnd w:id="160"/>
    </w:p>
    <w:p>
      <w:pPr>
        <w:spacing w:line="360" w:lineRule="auto"/>
        <w:ind w:firstLine="643" w:firstLineChars="200"/>
        <w:rPr>
          <w:rFonts w:eastAsia="仿宋_GB2312"/>
          <w:bCs/>
          <w:sz w:val="32"/>
          <w:szCs w:val="32"/>
          <w:lang w:val="zh-CN"/>
        </w:rPr>
      </w:pPr>
      <w:r>
        <w:rPr>
          <w:rFonts w:hint="eastAsia" w:eastAsia="仿宋_GB2312"/>
          <w:b/>
          <w:sz w:val="32"/>
          <w:szCs w:val="32"/>
        </w:rPr>
        <w:t>1.</w:t>
      </w:r>
      <w:r>
        <w:rPr>
          <w:rFonts w:hint="eastAsia" w:eastAsia="仿宋_GB2312"/>
          <w:b/>
          <w:sz w:val="32"/>
          <w:szCs w:val="32"/>
          <w:lang w:val="zh-CN"/>
        </w:rPr>
        <w:t>落实生态补偿制度。</w:t>
      </w:r>
      <w:r>
        <w:rPr>
          <w:rFonts w:hint="eastAsia" w:eastAsia="仿宋_GB2312"/>
          <w:bCs/>
          <w:sz w:val="32"/>
          <w:szCs w:val="32"/>
          <w:lang w:val="zh-CN"/>
        </w:rPr>
        <w:t>加大对重点生态功能区、废旧矿区、集中饮用水水源地及流域的生态补偿力度。探索多渠道多形式的生态补偿方式，拓宽生态补偿市场化、社会化运作的路子。</w:t>
      </w:r>
    </w:p>
    <w:p>
      <w:pPr>
        <w:spacing w:line="360" w:lineRule="auto"/>
        <w:ind w:firstLine="643" w:firstLineChars="200"/>
        <w:rPr>
          <w:rFonts w:eastAsia="仿宋_GB2312"/>
          <w:bCs/>
          <w:sz w:val="32"/>
          <w:szCs w:val="32"/>
          <w:lang w:val="zh-CN"/>
        </w:rPr>
      </w:pPr>
      <w:r>
        <w:rPr>
          <w:rFonts w:hint="eastAsia" w:eastAsia="仿宋_GB2312"/>
          <w:b/>
          <w:sz w:val="32"/>
          <w:szCs w:val="32"/>
        </w:rPr>
        <w:t>2.</w:t>
      </w:r>
      <w:r>
        <w:rPr>
          <w:rFonts w:hint="eastAsia" w:eastAsia="仿宋_GB2312"/>
          <w:b/>
          <w:sz w:val="32"/>
          <w:szCs w:val="32"/>
          <w:lang w:val="zh-CN"/>
        </w:rPr>
        <w:t>推进政府绿色采购。</w:t>
      </w:r>
      <w:r>
        <w:rPr>
          <w:rFonts w:hint="eastAsia" w:eastAsia="仿宋_GB2312"/>
          <w:bCs/>
          <w:sz w:val="32"/>
          <w:szCs w:val="32"/>
          <w:lang w:val="zh-CN"/>
        </w:rPr>
        <w:t>严格执行《湖南省两型产品政府采购目录》，扩大绿色采购覆盖的工程、产品、服务品类，建立绿色采购信息平台，推动第三方机构参与政府绿色采购，对全部政府采购实行绿色审查。</w:t>
      </w:r>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61" w:name="_Toc26604"/>
      <w:bookmarkStart w:id="162" w:name="_Toc87116164"/>
      <w:bookmarkStart w:id="163" w:name="_Toc72925748"/>
      <w:r>
        <w:rPr>
          <w:rFonts w:hint="eastAsia" w:eastAsia="楷体_GB2312"/>
          <w:b/>
          <w:bCs/>
          <w:kern w:val="0"/>
          <w:sz w:val="32"/>
          <w:szCs w:val="32"/>
        </w:rPr>
        <w:t>（五）健全环保市场体系</w:t>
      </w:r>
      <w:bookmarkEnd w:id="161"/>
      <w:bookmarkEnd w:id="162"/>
      <w:bookmarkEnd w:id="163"/>
    </w:p>
    <w:p>
      <w:pPr>
        <w:spacing w:line="360" w:lineRule="auto"/>
        <w:ind w:firstLine="643" w:firstLineChars="200"/>
        <w:rPr>
          <w:rFonts w:eastAsia="仿宋_GB2312"/>
          <w:bCs/>
          <w:sz w:val="32"/>
          <w:szCs w:val="32"/>
          <w:lang w:val="zh-CN"/>
        </w:rPr>
      </w:pPr>
      <w:r>
        <w:rPr>
          <w:rFonts w:hint="eastAsia" w:eastAsia="仿宋_GB2312"/>
          <w:b/>
          <w:sz w:val="32"/>
          <w:szCs w:val="32"/>
        </w:rPr>
        <w:t>1.</w:t>
      </w:r>
      <w:r>
        <w:rPr>
          <w:rFonts w:hint="eastAsia" w:eastAsia="仿宋_GB2312"/>
          <w:b/>
          <w:sz w:val="32"/>
          <w:szCs w:val="32"/>
          <w:lang w:val="zh-CN"/>
        </w:rPr>
        <w:t>大力发展绿色经济。</w:t>
      </w:r>
      <w:r>
        <w:rPr>
          <w:rFonts w:hint="eastAsia" w:eastAsia="仿宋_GB2312"/>
          <w:bCs/>
          <w:sz w:val="32"/>
          <w:szCs w:val="32"/>
          <w:lang w:val="zh-CN"/>
        </w:rPr>
        <w:t>积极探索健康可持续的旅游发展模式，加强宣传促销，加快品牌培育，做大产业规模，做活旅游文章，打造全年常热的全域旅游核心品牌。重点发展现代服务业，推动第三产业的健康快速发展，稳步提高第三产业在GDP中占比。在工业园区开展第三方环保管家服务。加快农业规模化产业化发展，巩固湖南省首批特色市域经济优势，大力发展本土特色作物种植及精深加工。</w:t>
      </w:r>
    </w:p>
    <w:p>
      <w:pPr>
        <w:spacing w:line="360" w:lineRule="auto"/>
        <w:ind w:firstLine="643" w:firstLineChars="200"/>
        <w:rPr>
          <w:rFonts w:eastAsia="仿宋_GB2312"/>
          <w:bCs/>
          <w:sz w:val="32"/>
          <w:szCs w:val="32"/>
          <w:lang w:val="zh-CN"/>
        </w:rPr>
      </w:pPr>
      <w:r>
        <w:rPr>
          <w:rFonts w:hint="eastAsia" w:eastAsia="仿宋_GB2312"/>
          <w:b/>
          <w:sz w:val="32"/>
          <w:szCs w:val="32"/>
        </w:rPr>
        <w:t>2.</w:t>
      </w:r>
      <w:r>
        <w:rPr>
          <w:rFonts w:hint="eastAsia" w:eastAsia="仿宋_GB2312"/>
          <w:b/>
          <w:sz w:val="32"/>
          <w:szCs w:val="32"/>
          <w:lang w:val="zh-CN"/>
        </w:rPr>
        <w:t>健全价格收费机制。</w:t>
      </w:r>
      <w:r>
        <w:rPr>
          <w:rFonts w:hint="eastAsia" w:eastAsia="仿宋_GB2312"/>
          <w:bCs/>
          <w:sz w:val="32"/>
          <w:szCs w:val="32"/>
          <w:lang w:val="zh-CN"/>
        </w:rPr>
        <w:t>严格落实“谁污染、谁付费”政策导向，建立健全“污染者付费+第三方治理”和污水处理收费政策和固体废物处理收费机制。</w:t>
      </w:r>
    </w:p>
    <w:p>
      <w:pPr>
        <w:spacing w:line="360" w:lineRule="auto"/>
        <w:ind w:firstLine="643" w:firstLineChars="200"/>
        <w:rPr>
          <w:rFonts w:eastAsia="仿宋_GB2312"/>
          <w:bCs/>
          <w:sz w:val="32"/>
          <w:szCs w:val="32"/>
          <w:lang w:val="zh-CN"/>
        </w:rPr>
      </w:pPr>
      <w:r>
        <w:rPr>
          <w:rFonts w:hint="eastAsia" w:eastAsia="仿宋_GB2312"/>
          <w:b/>
          <w:sz w:val="32"/>
          <w:szCs w:val="32"/>
        </w:rPr>
        <w:t>3.</w:t>
      </w:r>
      <w:r>
        <w:rPr>
          <w:rFonts w:hint="eastAsia" w:eastAsia="仿宋_GB2312"/>
          <w:b/>
          <w:sz w:val="32"/>
          <w:szCs w:val="32"/>
          <w:lang w:val="zh-CN"/>
        </w:rPr>
        <w:t>推进农业循环发展。</w:t>
      </w:r>
      <w:r>
        <w:rPr>
          <w:rFonts w:hint="eastAsia" w:eastAsia="仿宋_GB2312"/>
          <w:bCs/>
          <w:sz w:val="32"/>
          <w:szCs w:val="32"/>
          <w:lang w:val="zh-CN"/>
        </w:rPr>
        <w:t>扶持培育粪肥还田组织等市场主体提供粪肥收集、处理、施用服务，推进畜禽养殖废物综合利用，加快构建种养结合、农牧循环的现代畜牧业发展新格局。</w:t>
      </w:r>
    </w:p>
    <w:p>
      <w:pPr>
        <w:keepNext/>
        <w:keepLines/>
        <w:spacing w:before="156" w:beforeLines="50" w:after="156" w:afterLines="50" w:line="500" w:lineRule="exact"/>
        <w:ind w:firstLine="643" w:firstLineChars="200"/>
        <w:outlineLvl w:val="1"/>
        <w:rPr>
          <w:rFonts w:eastAsia="楷体_GB2312"/>
          <w:kern w:val="0"/>
          <w:sz w:val="32"/>
          <w:szCs w:val="32"/>
        </w:rPr>
      </w:pPr>
      <w:bookmarkStart w:id="164" w:name="_Toc14981"/>
      <w:bookmarkStart w:id="165" w:name="_Toc87116165"/>
      <w:r>
        <w:rPr>
          <w:rFonts w:hint="eastAsia" w:eastAsia="楷体_GB2312"/>
          <w:b/>
          <w:bCs/>
          <w:kern w:val="0"/>
          <w:sz w:val="32"/>
          <w:szCs w:val="32"/>
        </w:rPr>
        <w:t>（六）健全信用体系</w:t>
      </w:r>
      <w:bookmarkEnd w:id="164"/>
      <w:bookmarkEnd w:id="165"/>
    </w:p>
    <w:p>
      <w:pPr>
        <w:spacing w:line="360" w:lineRule="auto"/>
        <w:ind w:firstLine="643" w:firstLineChars="200"/>
        <w:rPr>
          <w:rFonts w:eastAsia="仿宋_GB2312"/>
          <w:bCs/>
          <w:sz w:val="32"/>
          <w:szCs w:val="32"/>
          <w:lang w:val="zh-CN"/>
        </w:rPr>
      </w:pPr>
      <w:r>
        <w:rPr>
          <w:rFonts w:hint="eastAsia" w:eastAsia="仿宋_GB2312"/>
          <w:b/>
          <w:sz w:val="32"/>
          <w:szCs w:val="32"/>
        </w:rPr>
        <w:t>1.</w:t>
      </w:r>
      <w:r>
        <w:rPr>
          <w:rFonts w:hint="eastAsia" w:eastAsia="仿宋_GB2312"/>
          <w:b/>
          <w:sz w:val="32"/>
          <w:szCs w:val="32"/>
          <w:lang w:val="zh-CN"/>
        </w:rPr>
        <w:t>加强政务诚信建设。</w:t>
      </w:r>
      <w:r>
        <w:rPr>
          <w:rFonts w:hint="eastAsia" w:eastAsia="仿宋_GB2312"/>
          <w:bCs/>
          <w:sz w:val="32"/>
          <w:szCs w:val="32"/>
          <w:lang w:val="zh-CN"/>
        </w:rPr>
        <w:t>不断加强环境治理诚信政府建设，提高政务诚信透明度和政府公信力，推进环境治理体系和治理能力现代化。</w:t>
      </w:r>
    </w:p>
    <w:p>
      <w:pPr>
        <w:spacing w:line="360" w:lineRule="auto"/>
        <w:ind w:firstLine="643" w:firstLineChars="200"/>
        <w:rPr>
          <w:rFonts w:eastAsia="仿宋_GB2312"/>
          <w:bCs/>
          <w:sz w:val="32"/>
          <w:szCs w:val="32"/>
          <w:lang w:val="zh-CN"/>
        </w:rPr>
      </w:pPr>
      <w:r>
        <w:rPr>
          <w:rFonts w:hint="eastAsia" w:eastAsia="仿宋_GB2312"/>
          <w:b/>
          <w:sz w:val="32"/>
          <w:szCs w:val="32"/>
        </w:rPr>
        <w:t>2.</w:t>
      </w:r>
      <w:r>
        <w:rPr>
          <w:rFonts w:hint="eastAsia" w:eastAsia="仿宋_GB2312"/>
          <w:b/>
          <w:sz w:val="32"/>
          <w:szCs w:val="32"/>
          <w:lang w:val="zh-CN"/>
        </w:rPr>
        <w:t>健全企业信用建设。</w:t>
      </w:r>
      <w:r>
        <w:rPr>
          <w:rFonts w:hint="eastAsia" w:eastAsia="仿宋_GB2312"/>
          <w:bCs/>
          <w:sz w:val="32"/>
          <w:szCs w:val="32"/>
          <w:lang w:val="zh-CN"/>
        </w:rPr>
        <w:t>完善企业环保信用评价制度。建立环保企业“红、黄、绿”信用等级制度，对信用等级为红色的企业，相关部门应对其进行停产整顿、取消财政优惠等惩罚性措施；对信用等级高的绿色企业，给予更高的财政优惠并在政府采购中优先考虑；将各企业综合评价定级结果向社会公开，供公众监督。</w:t>
      </w:r>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66" w:name="_Toc19773"/>
      <w:bookmarkStart w:id="167" w:name="_Toc72925749"/>
      <w:bookmarkStart w:id="168" w:name="_Toc87116166"/>
      <w:r>
        <w:rPr>
          <w:rFonts w:hint="eastAsia" w:eastAsia="楷体_GB2312"/>
          <w:b/>
          <w:bCs/>
          <w:kern w:val="0"/>
          <w:sz w:val="32"/>
          <w:szCs w:val="32"/>
        </w:rPr>
        <w:t>（七）健全环境监管体系</w:t>
      </w:r>
      <w:bookmarkEnd w:id="166"/>
      <w:bookmarkEnd w:id="167"/>
      <w:bookmarkEnd w:id="168"/>
    </w:p>
    <w:p>
      <w:pPr>
        <w:spacing w:line="360" w:lineRule="auto"/>
        <w:ind w:firstLine="643" w:firstLineChars="200"/>
        <w:rPr>
          <w:rFonts w:eastAsia="仿宋_GB2312"/>
          <w:bCs/>
          <w:sz w:val="32"/>
          <w:szCs w:val="32"/>
        </w:rPr>
      </w:pPr>
      <w:r>
        <w:rPr>
          <w:rFonts w:hint="eastAsia" w:eastAsia="仿宋_GB2312"/>
          <w:b/>
          <w:sz w:val="32"/>
          <w:szCs w:val="32"/>
        </w:rPr>
        <w:t>1.加强环境执法能力现代化建设。</w:t>
      </w:r>
      <w:r>
        <w:rPr>
          <w:rFonts w:hint="eastAsia" w:eastAsia="仿宋_GB2312"/>
          <w:bCs/>
          <w:sz w:val="32"/>
          <w:szCs w:val="32"/>
        </w:rPr>
        <w:t xml:space="preserve">提高环境执法人员的专业素养，在选人用人方面优先考虑人员在生态环境保护方向的工作经验和学历背景，逐步提升专业环境人员在执法队伍中的比例；严格按照《生态环境保护综合行政执法装备标准化建设指导标准（2020 年版）》要求，完善环境执法硬件设施保障。 </w:t>
      </w:r>
    </w:p>
    <w:p>
      <w:pPr>
        <w:spacing w:line="360" w:lineRule="auto"/>
        <w:ind w:firstLine="643" w:firstLineChars="200"/>
        <w:rPr>
          <w:rFonts w:eastAsia="仿宋_GB2312"/>
          <w:bCs/>
          <w:sz w:val="32"/>
          <w:szCs w:val="32"/>
          <w:lang w:val="zh-CN"/>
        </w:rPr>
      </w:pPr>
      <w:r>
        <w:rPr>
          <w:rFonts w:hint="eastAsia" w:eastAsia="仿宋_GB2312"/>
          <w:b/>
          <w:sz w:val="32"/>
          <w:szCs w:val="32"/>
        </w:rPr>
        <w:t>2.加强</w:t>
      </w:r>
      <w:r>
        <w:rPr>
          <w:rFonts w:hint="eastAsia" w:eastAsia="仿宋_GB2312"/>
          <w:b/>
          <w:sz w:val="32"/>
          <w:szCs w:val="32"/>
          <w:lang w:val="zh-CN"/>
        </w:rPr>
        <w:t>环境影响评价与排污许可</w:t>
      </w:r>
      <w:r>
        <w:rPr>
          <w:rFonts w:hint="eastAsia" w:eastAsia="仿宋_GB2312"/>
          <w:b/>
          <w:sz w:val="32"/>
          <w:szCs w:val="32"/>
        </w:rPr>
        <w:t>制度的衔接</w:t>
      </w:r>
      <w:r>
        <w:rPr>
          <w:rFonts w:hint="eastAsia" w:eastAsia="仿宋_GB2312"/>
          <w:b/>
          <w:sz w:val="32"/>
          <w:szCs w:val="32"/>
          <w:lang w:val="zh-CN"/>
        </w:rPr>
        <w:t>。</w:t>
      </w:r>
      <w:r>
        <w:rPr>
          <w:rFonts w:hint="eastAsia" w:eastAsia="仿宋_GB2312"/>
          <w:bCs/>
          <w:sz w:val="32"/>
          <w:szCs w:val="32"/>
          <w:lang w:val="zh-CN"/>
        </w:rPr>
        <w:t>强化环境影响评价制度在源头控制、过程管理中的基础性作用，加快排污许可制度与环境影响评价制度深度融合。在环境影响评价管理中，不断完善管理内容，推动环境影响评价更加科学，严格污染物排放要求；在排污许可管理中，严格按照环境影响报告书（表）以及审批文件要求核发排污许可证，维护环境影响评价的有效性。</w:t>
      </w:r>
    </w:p>
    <w:p>
      <w:pPr>
        <w:spacing w:line="360" w:lineRule="auto"/>
        <w:ind w:firstLine="643" w:firstLineChars="200"/>
        <w:rPr>
          <w:rFonts w:eastAsia="仿宋_GB2312"/>
          <w:bCs/>
          <w:sz w:val="32"/>
          <w:szCs w:val="32"/>
        </w:rPr>
      </w:pPr>
      <w:r>
        <w:rPr>
          <w:rFonts w:hint="eastAsia" w:eastAsia="仿宋_GB2312"/>
          <w:b/>
          <w:sz w:val="32"/>
          <w:szCs w:val="32"/>
        </w:rPr>
        <w:t>3.强化环保行政执法与刑事司法衔接。</w:t>
      </w:r>
      <w:r>
        <w:rPr>
          <w:rFonts w:hint="eastAsia" w:eastAsia="仿宋_GB2312"/>
          <w:bCs/>
          <w:sz w:val="32"/>
          <w:szCs w:val="32"/>
        </w:rPr>
        <w:t>建立生态环境部门、公安部门、检察机关、审判机关信息共享、案情互通、案件移送制度，强化对破坏生态环境违法犯罪行为的查处侦办。建立健全生态环境损害鉴定评估方法和实施机制，落实生态环境损害赔偿制度。加大检察机关提起生态环境公益诉讼工作力度。</w:t>
      </w:r>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69" w:name="_Toc72925750"/>
      <w:bookmarkStart w:id="170" w:name="_Toc3389"/>
      <w:bookmarkStart w:id="171" w:name="_Toc87116167"/>
      <w:r>
        <w:rPr>
          <w:rFonts w:hint="eastAsia" w:eastAsia="楷体_GB2312"/>
          <w:b/>
          <w:bCs/>
          <w:kern w:val="0"/>
          <w:sz w:val="32"/>
          <w:szCs w:val="32"/>
        </w:rPr>
        <w:t>（八）强化环境治理能力</w:t>
      </w:r>
      <w:bookmarkEnd w:id="169"/>
      <w:bookmarkEnd w:id="170"/>
      <w:bookmarkEnd w:id="171"/>
    </w:p>
    <w:p>
      <w:pPr>
        <w:spacing w:line="360" w:lineRule="auto"/>
        <w:ind w:firstLine="643" w:firstLineChars="200"/>
        <w:rPr>
          <w:rFonts w:eastAsia="仿宋_GB2312"/>
          <w:bCs/>
          <w:sz w:val="32"/>
          <w:szCs w:val="32"/>
        </w:rPr>
      </w:pPr>
      <w:r>
        <w:rPr>
          <w:rFonts w:hint="eastAsia" w:eastAsia="仿宋_GB2312"/>
          <w:b/>
          <w:sz w:val="32"/>
          <w:szCs w:val="32"/>
        </w:rPr>
        <w:t>1.</w:t>
      </w:r>
      <w:r>
        <w:rPr>
          <w:rFonts w:hint="eastAsia" w:eastAsia="仿宋_GB2312"/>
          <w:b/>
          <w:sz w:val="32"/>
          <w:szCs w:val="32"/>
          <w:lang w:val="zh-CN"/>
        </w:rPr>
        <w:t>强化监</w:t>
      </w:r>
      <w:r>
        <w:rPr>
          <w:rFonts w:hint="eastAsia" w:eastAsia="仿宋_GB2312"/>
          <w:b/>
          <w:sz w:val="32"/>
          <w:szCs w:val="32"/>
        </w:rPr>
        <w:t>管</w:t>
      </w:r>
      <w:r>
        <w:rPr>
          <w:rFonts w:hint="eastAsia" w:eastAsia="仿宋_GB2312"/>
          <w:b/>
          <w:sz w:val="32"/>
          <w:szCs w:val="32"/>
          <w:lang w:val="zh-CN"/>
        </w:rPr>
        <w:t>能力建设。</w:t>
      </w:r>
      <w:r>
        <w:rPr>
          <w:rFonts w:hint="eastAsia" w:eastAsia="仿宋_GB2312"/>
          <w:bCs/>
          <w:sz w:val="32"/>
          <w:szCs w:val="32"/>
          <w:lang w:val="zh-CN"/>
        </w:rPr>
        <w:t>整合监测资源，加强生态环境监测能力建设，健全重点污染源监测制度，加快构建天地一体，上下协同、信息共享的生态环境监测网络。推进信息化建设，形成生态环境数据一本台账、一张网络、一个窗口。</w:t>
      </w:r>
      <w:r>
        <w:rPr>
          <w:rFonts w:hint="eastAsia" w:eastAsia="仿宋_GB2312"/>
          <w:bCs/>
          <w:sz w:val="32"/>
          <w:szCs w:val="32"/>
        </w:rPr>
        <w:t>借助于高效的监测网络，及时发现区域内的生态环境问题，并迅速制定处置措施，及时解决问题，夯实生态环境监管能力建设的基础。</w:t>
      </w:r>
    </w:p>
    <w:p>
      <w:pPr>
        <w:spacing w:line="360" w:lineRule="auto"/>
        <w:ind w:firstLine="643" w:firstLineChars="200"/>
        <w:rPr>
          <w:rFonts w:eastAsia="仿宋_GB2312"/>
          <w:bCs/>
          <w:sz w:val="32"/>
          <w:szCs w:val="32"/>
          <w:lang w:val="zh-CN"/>
        </w:rPr>
      </w:pPr>
      <w:r>
        <w:rPr>
          <w:rFonts w:hint="eastAsia" w:eastAsia="仿宋_GB2312"/>
          <w:b/>
          <w:sz w:val="32"/>
          <w:szCs w:val="32"/>
        </w:rPr>
        <w:t>2.</w:t>
      </w:r>
      <w:r>
        <w:rPr>
          <w:rFonts w:hint="eastAsia" w:eastAsia="仿宋_GB2312"/>
          <w:b/>
          <w:sz w:val="32"/>
          <w:szCs w:val="32"/>
          <w:lang w:val="zh-CN"/>
        </w:rPr>
        <w:t>加强环境风险预警和应急能力建设。</w:t>
      </w:r>
      <w:r>
        <w:rPr>
          <w:rFonts w:hint="eastAsia" w:eastAsia="仿宋_GB2312"/>
          <w:bCs/>
          <w:sz w:val="32"/>
          <w:szCs w:val="32"/>
          <w:lang w:val="zh-CN"/>
        </w:rPr>
        <w:t>落实《宁乡市突发环境事件应急预案》，加强对饮用水源地、重点生态功能区和工业园区等地区的监控力度，加强对应急处置单位和人员的能力培养，重点加强突发环境事件应急处置能力，夯实应急准备基础，完善环境应急体系建设。</w:t>
      </w:r>
    </w:p>
    <w:p>
      <w:pPr>
        <w:spacing w:line="360" w:lineRule="auto"/>
        <w:ind w:firstLine="643" w:firstLineChars="200"/>
        <w:rPr>
          <w:rFonts w:eastAsia="仿宋_GB2312"/>
          <w:b/>
          <w:sz w:val="32"/>
          <w:szCs w:val="32"/>
        </w:rPr>
      </w:pPr>
      <w:r>
        <w:rPr>
          <w:rFonts w:hint="eastAsia" w:eastAsia="仿宋_GB2312"/>
          <w:b/>
          <w:sz w:val="32"/>
          <w:szCs w:val="32"/>
        </w:rPr>
        <w:t>3.</w:t>
      </w:r>
      <w:r>
        <w:rPr>
          <w:rFonts w:hint="eastAsia" w:eastAsia="仿宋_GB2312"/>
          <w:b/>
          <w:sz w:val="32"/>
          <w:szCs w:val="32"/>
          <w:lang w:val="zh-CN"/>
        </w:rPr>
        <w:t>强化环保产业、</w:t>
      </w:r>
      <w:r>
        <w:rPr>
          <w:rFonts w:hint="eastAsia" w:eastAsia="仿宋_GB2312"/>
          <w:b/>
          <w:sz w:val="32"/>
          <w:szCs w:val="32"/>
        </w:rPr>
        <w:t>科技</w:t>
      </w:r>
      <w:r>
        <w:rPr>
          <w:rFonts w:hint="eastAsia" w:eastAsia="仿宋_GB2312"/>
          <w:b/>
          <w:sz w:val="32"/>
          <w:szCs w:val="32"/>
          <w:lang w:val="zh-CN"/>
        </w:rPr>
        <w:t>支撑。</w:t>
      </w:r>
      <w:r>
        <w:rPr>
          <w:rFonts w:hint="eastAsia" w:eastAsia="仿宋_GB2312"/>
          <w:bCs/>
          <w:sz w:val="32"/>
          <w:szCs w:val="32"/>
        </w:rPr>
        <w:t>加强企业和政府部门与高校和科研院所的产学研交流，积极引进科研型人才，增强环境产业科技攻关能力，</w:t>
      </w:r>
      <w:r>
        <w:rPr>
          <w:rFonts w:hint="eastAsia" w:eastAsia="仿宋_GB2312"/>
          <w:bCs/>
          <w:sz w:val="32"/>
          <w:szCs w:val="32"/>
          <w:lang w:val="zh-CN"/>
        </w:rPr>
        <w:t>加强关键环保技术产品自主创新，推动环保</w:t>
      </w:r>
      <w:r>
        <w:rPr>
          <w:rFonts w:hint="eastAsia" w:eastAsia="仿宋_GB2312"/>
          <w:bCs/>
          <w:sz w:val="32"/>
          <w:szCs w:val="32"/>
        </w:rPr>
        <w:t>硬件设施和软件的研发</w:t>
      </w:r>
      <w:r>
        <w:rPr>
          <w:rFonts w:hint="eastAsia" w:eastAsia="仿宋_GB2312"/>
          <w:bCs/>
          <w:sz w:val="32"/>
          <w:szCs w:val="32"/>
          <w:lang w:val="zh-CN"/>
        </w:rPr>
        <w:t>，加快提高环保产业技术装备水平。做大做强龙头企业，培育一批专业化骨干企业，扶持一批专特优精中小企业。</w:t>
      </w:r>
    </w:p>
    <w:p>
      <w:pPr>
        <w:widowControl/>
        <w:spacing w:line="360" w:lineRule="auto"/>
        <w:jc w:val="left"/>
        <w:rPr>
          <w:sz w:val="24"/>
        </w:rPr>
      </w:pPr>
    </w:p>
    <w:p>
      <w:pPr>
        <w:keepNext/>
        <w:keepLines/>
        <w:spacing w:before="156" w:beforeLines="50" w:after="156" w:afterLines="50" w:line="360" w:lineRule="auto"/>
        <w:ind w:firstLine="643" w:firstLineChars="200"/>
        <w:jc w:val="left"/>
        <w:outlineLvl w:val="0"/>
        <w:rPr>
          <w:rFonts w:eastAsia="黑体"/>
          <w:b/>
          <w:kern w:val="44"/>
          <w:sz w:val="32"/>
          <w:szCs w:val="32"/>
        </w:rPr>
      </w:pPr>
      <w:bookmarkStart w:id="172" w:name="_Toc23986"/>
      <w:bookmarkStart w:id="173" w:name="_Toc87116168"/>
      <w:r>
        <w:rPr>
          <w:rFonts w:hint="eastAsia" w:eastAsia="黑体"/>
          <w:b/>
          <w:kern w:val="44"/>
          <w:sz w:val="32"/>
          <w:szCs w:val="32"/>
        </w:rPr>
        <w:t>八、强化项目支撑作用，加强规划实施保障</w:t>
      </w:r>
      <w:bookmarkEnd w:id="172"/>
      <w:bookmarkEnd w:id="173"/>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74" w:name="_Toc4137"/>
      <w:bookmarkStart w:id="175" w:name="_Toc87116169"/>
      <w:r>
        <w:rPr>
          <w:rFonts w:hint="eastAsia" w:eastAsia="楷体_GB2312"/>
          <w:b/>
          <w:bCs/>
          <w:kern w:val="0"/>
          <w:sz w:val="32"/>
          <w:szCs w:val="32"/>
        </w:rPr>
        <w:t>（一）强化项目支撑作用</w:t>
      </w:r>
      <w:bookmarkEnd w:id="174"/>
      <w:bookmarkEnd w:id="175"/>
    </w:p>
    <w:p>
      <w:pPr>
        <w:spacing w:line="360" w:lineRule="auto"/>
        <w:ind w:firstLine="640" w:firstLineChars="200"/>
        <w:rPr>
          <w:rFonts w:eastAsia="仿宋_GB2312"/>
          <w:sz w:val="32"/>
          <w:szCs w:val="32"/>
          <w:lang w:val="zh-CN"/>
        </w:rPr>
      </w:pPr>
      <w:r>
        <w:rPr>
          <w:rFonts w:hint="eastAsia" w:eastAsia="仿宋_GB2312"/>
          <w:sz w:val="32"/>
          <w:szCs w:val="32"/>
          <w:lang w:val="zh-CN"/>
        </w:rPr>
        <w:t>结合宁乡市环境保护和生态文明建设工作实际情况，为落实《宁乡市“十四五”生态环境保护规划》中各项目标、任务和措施，“十四五”时期，以污染防治攻坚战和绿色美丽新宁乡建设为主线，强化蓝天、碧水、净土项目建设，全面谋划“十四五”生态环境重大项目（详见附表2）。全市生态环境保护项目</w:t>
      </w:r>
      <w:r>
        <w:rPr>
          <w:rFonts w:hint="eastAsia" w:eastAsia="仿宋_GB2312"/>
          <w:sz w:val="32"/>
          <w:szCs w:val="32"/>
        </w:rPr>
        <w:t>22</w:t>
      </w:r>
      <w:r>
        <w:rPr>
          <w:rFonts w:hint="eastAsia" w:eastAsia="仿宋_GB2312"/>
          <w:sz w:val="32"/>
          <w:szCs w:val="32"/>
          <w:lang w:val="zh-CN"/>
        </w:rPr>
        <w:t>个，主要项目包括环境监管能力建设工程、水环境保护工程、大气污染治理工程、土壤污染防治工程、生态环境保护建设工程、固体废物污染整治工程和噪声污染防治工程。</w:t>
      </w:r>
    </w:p>
    <w:p>
      <w:pPr>
        <w:keepNext/>
        <w:keepLines/>
        <w:spacing w:before="156" w:beforeLines="50" w:after="156" w:afterLines="50" w:line="500" w:lineRule="exact"/>
        <w:ind w:firstLine="643" w:firstLineChars="200"/>
        <w:outlineLvl w:val="1"/>
        <w:rPr>
          <w:rFonts w:eastAsia="楷体_GB2312"/>
          <w:b/>
          <w:bCs/>
          <w:kern w:val="0"/>
          <w:sz w:val="32"/>
          <w:szCs w:val="32"/>
        </w:rPr>
      </w:pPr>
      <w:bookmarkStart w:id="176" w:name="_Toc19892"/>
      <w:bookmarkStart w:id="177" w:name="_Toc87116170"/>
      <w:r>
        <w:rPr>
          <w:rFonts w:hint="eastAsia" w:eastAsia="楷体_GB2312"/>
          <w:b/>
          <w:bCs/>
          <w:kern w:val="0"/>
          <w:sz w:val="32"/>
          <w:szCs w:val="32"/>
        </w:rPr>
        <w:t>（二）加强规划实施保障</w:t>
      </w:r>
      <w:bookmarkEnd w:id="176"/>
      <w:bookmarkEnd w:id="177"/>
    </w:p>
    <w:p>
      <w:pPr>
        <w:spacing w:line="360" w:lineRule="auto"/>
        <w:ind w:firstLine="643" w:firstLineChars="200"/>
        <w:rPr>
          <w:rFonts w:eastAsia="仿宋_GB2312"/>
          <w:bCs/>
          <w:sz w:val="32"/>
          <w:szCs w:val="32"/>
          <w:lang w:val="zh-CN"/>
        </w:rPr>
      </w:pPr>
      <w:r>
        <w:rPr>
          <w:rFonts w:hint="eastAsia" w:eastAsia="仿宋_GB2312"/>
          <w:b/>
          <w:sz w:val="32"/>
          <w:szCs w:val="32"/>
          <w:lang w:val="zh-CN"/>
        </w:rPr>
        <w:t>1</w:t>
      </w:r>
      <w:r>
        <w:rPr>
          <w:rFonts w:hint="eastAsia" w:eastAsia="仿宋_GB2312"/>
          <w:b/>
          <w:sz w:val="32"/>
          <w:szCs w:val="32"/>
          <w:lang w:val="en-US" w:eastAsia="zh-CN"/>
        </w:rPr>
        <w:t>.</w:t>
      </w:r>
      <w:r>
        <w:rPr>
          <w:rFonts w:hint="eastAsia" w:eastAsia="仿宋_GB2312"/>
          <w:b/>
          <w:sz w:val="32"/>
          <w:szCs w:val="32"/>
          <w:lang w:val="zh-CN"/>
        </w:rPr>
        <w:t>加强组织领导。</w:t>
      </w:r>
      <w:r>
        <w:rPr>
          <w:rFonts w:hint="eastAsia" w:eastAsia="仿宋_GB2312"/>
          <w:sz w:val="32"/>
          <w:szCs w:val="32"/>
          <w:lang w:val="zh-CN"/>
        </w:rPr>
        <w:t>建立和完善规划实施的组织领导。由市委、市政府主要领导分别</w:t>
      </w:r>
      <w:r>
        <w:rPr>
          <w:rFonts w:hint="eastAsia" w:eastAsia="仿宋_GB2312"/>
          <w:bCs/>
          <w:sz w:val="32"/>
          <w:szCs w:val="32"/>
          <w:lang w:val="zh-CN"/>
        </w:rPr>
        <w:t>担任第一组长和组长，市委、市政府相关领导担任副组长，市直有关部门负责人为成员，将生态环境保护目标任务落实到各有关部门，明确到第一责任人，建立目标落实和考核奖惩机制。</w:t>
      </w:r>
    </w:p>
    <w:p>
      <w:pPr>
        <w:spacing w:line="360" w:lineRule="auto"/>
        <w:ind w:firstLine="643" w:firstLineChars="200"/>
        <w:rPr>
          <w:rFonts w:eastAsia="仿宋_GB2312"/>
          <w:bCs/>
          <w:sz w:val="32"/>
          <w:szCs w:val="32"/>
          <w:lang w:val="zh-CN"/>
        </w:rPr>
      </w:pPr>
      <w:r>
        <w:rPr>
          <w:rFonts w:hint="eastAsia" w:eastAsia="仿宋_GB2312"/>
          <w:b/>
          <w:sz w:val="32"/>
          <w:szCs w:val="32"/>
          <w:lang w:val="zh-CN"/>
        </w:rPr>
        <w:t>2</w:t>
      </w:r>
      <w:r>
        <w:rPr>
          <w:rFonts w:hint="eastAsia" w:eastAsia="仿宋_GB2312"/>
          <w:b/>
          <w:sz w:val="32"/>
          <w:szCs w:val="32"/>
          <w:lang w:val="en-US" w:eastAsia="zh-CN"/>
        </w:rPr>
        <w:t>.</w:t>
      </w:r>
      <w:r>
        <w:rPr>
          <w:rFonts w:hint="eastAsia" w:eastAsia="仿宋_GB2312"/>
          <w:b/>
          <w:sz w:val="32"/>
          <w:szCs w:val="32"/>
          <w:lang w:val="zh-CN"/>
        </w:rPr>
        <w:t>人才技术保障。</w:t>
      </w:r>
      <w:r>
        <w:rPr>
          <w:rFonts w:hint="eastAsia" w:eastAsia="仿宋_GB2312"/>
          <w:bCs/>
          <w:sz w:val="32"/>
          <w:szCs w:val="32"/>
          <w:lang w:val="zh-CN"/>
        </w:rPr>
        <w:t>抓紧培养、引进相应人才，针对业务骨干定期学习培训，提高业务素质，使管理水平和服务质量规范化、程序化和标准化。加强对科学技术研究的资金扶持，制定优惠政策，吸引省内外高等院校、科研院所等研究机构建立研究基地，加强科研创新能力建设。鼓励企业加大自主研发力度，不断改进生产工艺，淘汰落后生产工艺。完善社会技术服务体系建设，积极为企业开展技术服务，引导企业采用新技术、新工艺。建立高新技术转化和转让的服务基地，发挥政府的行政指导和行政服务职能，促进高新技术得以合理转化及运用。</w:t>
      </w:r>
    </w:p>
    <w:p>
      <w:pPr>
        <w:spacing w:line="360" w:lineRule="auto"/>
        <w:ind w:firstLine="643" w:firstLineChars="200"/>
        <w:rPr>
          <w:rFonts w:eastAsia="仿宋_GB2312"/>
          <w:bCs/>
          <w:sz w:val="32"/>
          <w:szCs w:val="32"/>
          <w:lang w:val="zh-CN"/>
        </w:rPr>
      </w:pPr>
      <w:r>
        <w:rPr>
          <w:rFonts w:hint="eastAsia" w:eastAsia="仿宋_GB2312"/>
          <w:b/>
          <w:sz w:val="32"/>
          <w:szCs w:val="32"/>
          <w:lang w:val="zh-CN"/>
        </w:rPr>
        <w:t>3.资金保障。</w:t>
      </w:r>
      <w:r>
        <w:rPr>
          <w:rFonts w:hint="eastAsia" w:eastAsia="仿宋_GB2312"/>
          <w:bCs/>
          <w:sz w:val="32"/>
          <w:szCs w:val="32"/>
          <w:lang w:val="zh-CN"/>
        </w:rPr>
        <w:t>统筹社会各界资金，扩大资金筹措渠道。一是加强财政支持，提高环保投入比例，将生态环境保护资金纳入年度财政预算；二是整合部门资金，将各部门环保资金、涉农资金进行整合，加强协作，形成合力；三是充分调动社会力量，积极申请各类银行贷款以及风险投资、BOT、PPP等方式进行融资，确保生态环境保护工程建设资金及时足额到位。</w:t>
      </w:r>
    </w:p>
    <w:p>
      <w:pPr>
        <w:spacing w:line="360" w:lineRule="auto"/>
        <w:ind w:firstLine="643" w:firstLineChars="200"/>
        <w:rPr>
          <w:rFonts w:eastAsia="仿宋_GB2312"/>
          <w:bCs/>
          <w:sz w:val="32"/>
          <w:szCs w:val="32"/>
          <w:lang w:val="zh-CN"/>
        </w:rPr>
      </w:pPr>
      <w:r>
        <w:rPr>
          <w:rFonts w:hint="eastAsia" w:eastAsia="仿宋_GB2312"/>
          <w:b/>
          <w:sz w:val="32"/>
          <w:szCs w:val="32"/>
          <w:lang w:val="zh-CN"/>
        </w:rPr>
        <w:t>4.公众参与保障。</w:t>
      </w:r>
      <w:r>
        <w:rPr>
          <w:rFonts w:hint="eastAsia" w:eastAsia="仿宋_GB2312"/>
          <w:bCs/>
          <w:sz w:val="32"/>
          <w:szCs w:val="32"/>
          <w:lang w:val="zh-CN"/>
        </w:rPr>
        <w:t>在企业和政府的环境信息公开基础上，鼓励引导公众积极参与环保监督。鼓励社会公众参与环境保护和生态建设事业上，大力倡导节能环保、爱护生态、崇尚自然的生态意识，倡导适度消费、绿色消费的生态习惯，形成“节约环保光荣、浪费污染可耻”的社会风尚，营造有利于生态环境保护的社会氛围。</w:t>
      </w:r>
    </w:p>
    <w:p>
      <w:pPr>
        <w:spacing w:line="360" w:lineRule="auto"/>
        <w:ind w:firstLine="643" w:firstLineChars="200"/>
        <w:rPr>
          <w:rFonts w:eastAsia="仿宋_GB2312"/>
          <w:bCs/>
          <w:sz w:val="32"/>
          <w:szCs w:val="32"/>
          <w:lang w:val="zh-CN"/>
        </w:rPr>
      </w:pPr>
      <w:r>
        <w:rPr>
          <w:rFonts w:hint="eastAsia" w:eastAsia="仿宋_GB2312"/>
          <w:b/>
          <w:sz w:val="32"/>
          <w:szCs w:val="32"/>
          <w:lang w:val="zh-CN"/>
        </w:rPr>
        <w:t>5.宣传教育保障。</w:t>
      </w:r>
      <w:r>
        <w:rPr>
          <w:rFonts w:hint="eastAsia" w:eastAsia="仿宋_GB2312"/>
          <w:bCs/>
          <w:sz w:val="32"/>
          <w:szCs w:val="32"/>
          <w:lang w:val="zh-CN"/>
        </w:rPr>
        <w:t>革新生态保护宣传方式和手段，营造生态环境保护良好氛围。广泛开展公益性环保宣传，及时播放、报道、表彰环境保护先进典型，公开曝光环境违法行为，以反面事例警示环境违法行为</w:t>
      </w:r>
      <w:r>
        <w:rPr>
          <w:rFonts w:hint="eastAsia" w:eastAsia="仿宋_GB2312"/>
          <w:sz w:val="32"/>
          <w:szCs w:val="32"/>
          <w:lang w:val="zh-CN"/>
        </w:rPr>
        <w:t>。</w:t>
      </w:r>
    </w:p>
    <w:bookmarkEnd w:id="148"/>
    <w:p/>
    <w:p>
      <w:r>
        <w:pict>
          <v:shape id="Picture 17" o:spid="_x0000_s1054" o:spt="75" type="#_x0000_t75" style="position:absolute;left:0pt;margin-left:87.6pt;margin-top:307.2pt;height:596.4pt;width:415.2pt;z-index:-251656192;mso-width-relative:page;mso-height-relative:page;" filled="f" o:preferrelative="t" stroked="f" coordsize="21600,21600">
            <v:path/>
            <v:fill on="f" focussize="0,0"/>
            <v:stroke on="f" joinstyle="miter"/>
            <v:imagedata r:id="rId11" o:title=""/>
            <o:lock v:ext="edit" aspectratio="t"/>
          </v:shape>
        </w:pict>
      </w:r>
    </w:p>
    <w:sectPr>
      <w:headerReference r:id="rId8" w:type="default"/>
      <w:footerReference r:id="rId9"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pict>
        <v:rect id="文本框 4" o:spid="_x0000_s2051" o:spt="1" style="position:absolute;left:0pt;margin-top:0pt;height:10.35pt;width:4.55pt;mso-position-horizontal:center;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v:textbox>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pict>
        <v:rect id="文本框 5" o:spid="_x0000_s2050" o:spt="1" style="position:absolute;left:0pt;margin-top:0pt;height:31.05pt;width:37.4pt;mso-position-horizontal:center;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pStyle w:val="20"/>
                  <w:jc w:val="center"/>
                </w:pPr>
                <w:r>
                  <w:fldChar w:fldCharType="begin"/>
                </w:r>
                <w:r>
                  <w:instrText xml:space="preserve">PAGE   \* MERGEFORMAT</w:instrText>
                </w:r>
                <w:r>
                  <w:fldChar w:fldCharType="separate"/>
                </w:r>
                <w:r>
                  <w:rPr>
                    <w:lang w:val="zh-CN"/>
                  </w:rPr>
                  <w:t>2</w:t>
                </w:r>
                <w:r>
                  <w:fldChar w:fldCharType="end"/>
                </w:r>
              </w:p>
              <w:p>
                <w:pPr>
                  <w:pStyle w:val="2"/>
                </w:pPr>
              </w:p>
            </w:txbxContent>
          </v:textbox>
        </v:rect>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pict>
        <v:rect id="文本框 8" o:spid="_x0000_s2049" o:spt="1" style="position:absolute;left:0pt;margin-top:0pt;height:31.05pt;width:37.4pt;mso-position-horizontal:center;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pStyle w:val="20"/>
                  <w:jc w:val="center"/>
                </w:pPr>
                <w:r>
                  <w:fldChar w:fldCharType="begin"/>
                </w:r>
                <w:r>
                  <w:instrText xml:space="preserve">PAGE   \* MERGEFORMAT</w:instrText>
                </w:r>
                <w:r>
                  <w:fldChar w:fldCharType="separate"/>
                </w:r>
                <w:r>
                  <w:rPr>
                    <w:lang w:val="zh-CN"/>
                  </w:rPr>
                  <w:t>2</w:t>
                </w:r>
                <w:r>
                  <w:fldChar w:fldCharType="end"/>
                </w:r>
              </w:p>
              <w:p>
                <w:pPr>
                  <w:pStyle w:val="2"/>
                </w:pP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sz w:val="21"/>
        <w:szCs w:val="21"/>
      </w:rPr>
    </w:pPr>
    <w:r>
      <w:rPr>
        <w:rFonts w:hint="eastAsia" w:ascii="楷体" w:hAnsi="楷体" w:eastAsia="楷体"/>
        <w:sz w:val="21"/>
        <w:szCs w:val="21"/>
      </w:rPr>
      <w:t>宁乡市“十四五”生态环境保护规划</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sz w:val="21"/>
        <w:szCs w:val="21"/>
      </w:rPr>
    </w:pPr>
    <w:r>
      <w:rPr>
        <w:rFonts w:hint="eastAsia" w:ascii="楷体" w:hAnsi="楷体" w:eastAsia="楷体"/>
        <w:sz w:val="21"/>
        <w:szCs w:val="21"/>
      </w:rPr>
      <w:t>宁乡市“十四五”生态环境保护规划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ZhZDc5ZDhmOWM2NTY2YTdjODM5NjJkNzU0YmU2YmEifQ=="/>
  </w:docVars>
  <w:rsids>
    <w:rsidRoot w:val="262477AD"/>
    <w:rsid w:val="0000010E"/>
    <w:rsid w:val="00011635"/>
    <w:rsid w:val="00037BDF"/>
    <w:rsid w:val="00050E60"/>
    <w:rsid w:val="00055623"/>
    <w:rsid w:val="00057015"/>
    <w:rsid w:val="00070537"/>
    <w:rsid w:val="0009731B"/>
    <w:rsid w:val="000A2D8A"/>
    <w:rsid w:val="000B645E"/>
    <w:rsid w:val="000D2099"/>
    <w:rsid w:val="00106CA8"/>
    <w:rsid w:val="001454E2"/>
    <w:rsid w:val="001523C8"/>
    <w:rsid w:val="00152AD3"/>
    <w:rsid w:val="00170D25"/>
    <w:rsid w:val="001743EC"/>
    <w:rsid w:val="001A0236"/>
    <w:rsid w:val="001A74A4"/>
    <w:rsid w:val="0023182A"/>
    <w:rsid w:val="002336C7"/>
    <w:rsid w:val="00235551"/>
    <w:rsid w:val="002363D7"/>
    <w:rsid w:val="00243851"/>
    <w:rsid w:val="002467C4"/>
    <w:rsid w:val="00250913"/>
    <w:rsid w:val="00253703"/>
    <w:rsid w:val="002562FE"/>
    <w:rsid w:val="0028039E"/>
    <w:rsid w:val="002A34FD"/>
    <w:rsid w:val="002D22DC"/>
    <w:rsid w:val="002E5288"/>
    <w:rsid w:val="002F1670"/>
    <w:rsid w:val="00313E6B"/>
    <w:rsid w:val="00347C14"/>
    <w:rsid w:val="00362ED8"/>
    <w:rsid w:val="0037381F"/>
    <w:rsid w:val="003C76A6"/>
    <w:rsid w:val="003F53DE"/>
    <w:rsid w:val="00401396"/>
    <w:rsid w:val="0041520A"/>
    <w:rsid w:val="0044165D"/>
    <w:rsid w:val="00487CB9"/>
    <w:rsid w:val="004B0884"/>
    <w:rsid w:val="004D689D"/>
    <w:rsid w:val="004E4253"/>
    <w:rsid w:val="004F28A8"/>
    <w:rsid w:val="00512ACD"/>
    <w:rsid w:val="00524169"/>
    <w:rsid w:val="00585047"/>
    <w:rsid w:val="00592750"/>
    <w:rsid w:val="005F2122"/>
    <w:rsid w:val="005F4564"/>
    <w:rsid w:val="00613B40"/>
    <w:rsid w:val="006421CC"/>
    <w:rsid w:val="0066399B"/>
    <w:rsid w:val="00664D11"/>
    <w:rsid w:val="0067340B"/>
    <w:rsid w:val="006D4CBE"/>
    <w:rsid w:val="006E1067"/>
    <w:rsid w:val="006E1352"/>
    <w:rsid w:val="007039A8"/>
    <w:rsid w:val="0073367D"/>
    <w:rsid w:val="00740315"/>
    <w:rsid w:val="007800FD"/>
    <w:rsid w:val="007B7149"/>
    <w:rsid w:val="007C3AE3"/>
    <w:rsid w:val="007E4A0E"/>
    <w:rsid w:val="007F0C00"/>
    <w:rsid w:val="007F5C41"/>
    <w:rsid w:val="00815A81"/>
    <w:rsid w:val="00841925"/>
    <w:rsid w:val="00844726"/>
    <w:rsid w:val="00865FB2"/>
    <w:rsid w:val="00896B27"/>
    <w:rsid w:val="008C1B94"/>
    <w:rsid w:val="008F30A6"/>
    <w:rsid w:val="008F45A1"/>
    <w:rsid w:val="008F6D4A"/>
    <w:rsid w:val="009772BA"/>
    <w:rsid w:val="009A595B"/>
    <w:rsid w:val="009F7852"/>
    <w:rsid w:val="00A048CB"/>
    <w:rsid w:val="00A057FE"/>
    <w:rsid w:val="00A27E7B"/>
    <w:rsid w:val="00A36336"/>
    <w:rsid w:val="00A57E92"/>
    <w:rsid w:val="00A81FFF"/>
    <w:rsid w:val="00A91D8B"/>
    <w:rsid w:val="00B100F9"/>
    <w:rsid w:val="00B13CB6"/>
    <w:rsid w:val="00B21FD1"/>
    <w:rsid w:val="00B25168"/>
    <w:rsid w:val="00B258BF"/>
    <w:rsid w:val="00B44116"/>
    <w:rsid w:val="00B44560"/>
    <w:rsid w:val="00B72E3E"/>
    <w:rsid w:val="00BE56D2"/>
    <w:rsid w:val="00C16CAE"/>
    <w:rsid w:val="00C31BB2"/>
    <w:rsid w:val="00C67FAF"/>
    <w:rsid w:val="00C83AB9"/>
    <w:rsid w:val="00CB6EFC"/>
    <w:rsid w:val="00CC5B88"/>
    <w:rsid w:val="00CD4ED5"/>
    <w:rsid w:val="00CF0B33"/>
    <w:rsid w:val="00D107DC"/>
    <w:rsid w:val="00D21D32"/>
    <w:rsid w:val="00D56928"/>
    <w:rsid w:val="00DA28C6"/>
    <w:rsid w:val="00DC268C"/>
    <w:rsid w:val="00DD047C"/>
    <w:rsid w:val="00DD37BF"/>
    <w:rsid w:val="00DE279F"/>
    <w:rsid w:val="00E0207D"/>
    <w:rsid w:val="00E0322E"/>
    <w:rsid w:val="00E211E6"/>
    <w:rsid w:val="00E5228C"/>
    <w:rsid w:val="00E574A3"/>
    <w:rsid w:val="00E61FF2"/>
    <w:rsid w:val="00E656AB"/>
    <w:rsid w:val="00E70B96"/>
    <w:rsid w:val="00E764C0"/>
    <w:rsid w:val="00E77A0F"/>
    <w:rsid w:val="00E9149F"/>
    <w:rsid w:val="00EB017F"/>
    <w:rsid w:val="00EC1164"/>
    <w:rsid w:val="00EF16FF"/>
    <w:rsid w:val="00EF2D01"/>
    <w:rsid w:val="00F41C53"/>
    <w:rsid w:val="00FA5FB0"/>
    <w:rsid w:val="00FB77E6"/>
    <w:rsid w:val="00FD3752"/>
    <w:rsid w:val="00FD6D0E"/>
    <w:rsid w:val="00FE7B5A"/>
    <w:rsid w:val="02950D6E"/>
    <w:rsid w:val="04D83149"/>
    <w:rsid w:val="061C1F17"/>
    <w:rsid w:val="07802E76"/>
    <w:rsid w:val="09024176"/>
    <w:rsid w:val="09DB6EDB"/>
    <w:rsid w:val="0A003FD0"/>
    <w:rsid w:val="0BC04C75"/>
    <w:rsid w:val="0C516190"/>
    <w:rsid w:val="0EAF5BA8"/>
    <w:rsid w:val="0F536A0D"/>
    <w:rsid w:val="11D9559A"/>
    <w:rsid w:val="120644C1"/>
    <w:rsid w:val="12303D4A"/>
    <w:rsid w:val="14A30514"/>
    <w:rsid w:val="14D507A3"/>
    <w:rsid w:val="15AE47D4"/>
    <w:rsid w:val="15F37646"/>
    <w:rsid w:val="164D628D"/>
    <w:rsid w:val="17295F06"/>
    <w:rsid w:val="17940AFF"/>
    <w:rsid w:val="18FA7EAF"/>
    <w:rsid w:val="1A244A76"/>
    <w:rsid w:val="1A3E3BBE"/>
    <w:rsid w:val="1AB25F58"/>
    <w:rsid w:val="1B350BCA"/>
    <w:rsid w:val="1B3874B6"/>
    <w:rsid w:val="1B7830FD"/>
    <w:rsid w:val="1D60233E"/>
    <w:rsid w:val="1DA0444F"/>
    <w:rsid w:val="1DB10E44"/>
    <w:rsid w:val="1DC16EE0"/>
    <w:rsid w:val="1EBF366E"/>
    <w:rsid w:val="1EF40B1D"/>
    <w:rsid w:val="20422FC9"/>
    <w:rsid w:val="20ED6517"/>
    <w:rsid w:val="22813C4B"/>
    <w:rsid w:val="22F9226D"/>
    <w:rsid w:val="23140F9B"/>
    <w:rsid w:val="2314277A"/>
    <w:rsid w:val="24D6779E"/>
    <w:rsid w:val="262477AD"/>
    <w:rsid w:val="26773BAB"/>
    <w:rsid w:val="275E6A95"/>
    <w:rsid w:val="289C6CC9"/>
    <w:rsid w:val="29100634"/>
    <w:rsid w:val="29633FD7"/>
    <w:rsid w:val="29CD5315"/>
    <w:rsid w:val="29D80392"/>
    <w:rsid w:val="2A1B7225"/>
    <w:rsid w:val="2AEA4775"/>
    <w:rsid w:val="2B6A1B01"/>
    <w:rsid w:val="2BCD6BEB"/>
    <w:rsid w:val="2BEF1BF0"/>
    <w:rsid w:val="2D1C1D90"/>
    <w:rsid w:val="2D930CB9"/>
    <w:rsid w:val="2F524883"/>
    <w:rsid w:val="326D41CB"/>
    <w:rsid w:val="33FF2D50"/>
    <w:rsid w:val="358C01EB"/>
    <w:rsid w:val="35AD7DA3"/>
    <w:rsid w:val="35B6712B"/>
    <w:rsid w:val="36194C51"/>
    <w:rsid w:val="386F1278"/>
    <w:rsid w:val="38845A25"/>
    <w:rsid w:val="393D4F7B"/>
    <w:rsid w:val="3AB76F19"/>
    <w:rsid w:val="3C3F1D89"/>
    <w:rsid w:val="3CB577E2"/>
    <w:rsid w:val="3CBE37BC"/>
    <w:rsid w:val="3EAC1226"/>
    <w:rsid w:val="3EF239B7"/>
    <w:rsid w:val="3FC45746"/>
    <w:rsid w:val="41FF11AD"/>
    <w:rsid w:val="442531F6"/>
    <w:rsid w:val="455D760D"/>
    <w:rsid w:val="456E6BEE"/>
    <w:rsid w:val="477F7075"/>
    <w:rsid w:val="489D2657"/>
    <w:rsid w:val="494476DB"/>
    <w:rsid w:val="4BF61801"/>
    <w:rsid w:val="4C8724D5"/>
    <w:rsid w:val="4C903FDF"/>
    <w:rsid w:val="4C9A34E4"/>
    <w:rsid w:val="4CD76576"/>
    <w:rsid w:val="50D21906"/>
    <w:rsid w:val="510C5679"/>
    <w:rsid w:val="54FC1B18"/>
    <w:rsid w:val="56087368"/>
    <w:rsid w:val="57AF2DEA"/>
    <w:rsid w:val="57CE1BF6"/>
    <w:rsid w:val="58436D5C"/>
    <w:rsid w:val="59370924"/>
    <w:rsid w:val="5B5D2FDC"/>
    <w:rsid w:val="5B75597E"/>
    <w:rsid w:val="5D5C035F"/>
    <w:rsid w:val="5DD03D85"/>
    <w:rsid w:val="5F436F68"/>
    <w:rsid w:val="5FA208A2"/>
    <w:rsid w:val="60045493"/>
    <w:rsid w:val="606E2D90"/>
    <w:rsid w:val="6146481E"/>
    <w:rsid w:val="61CF1286"/>
    <w:rsid w:val="61E71A6E"/>
    <w:rsid w:val="63952BD5"/>
    <w:rsid w:val="63991B2B"/>
    <w:rsid w:val="64B51049"/>
    <w:rsid w:val="651932EC"/>
    <w:rsid w:val="65FF1FF9"/>
    <w:rsid w:val="661731CF"/>
    <w:rsid w:val="66CB17F0"/>
    <w:rsid w:val="688155A7"/>
    <w:rsid w:val="6A0638A7"/>
    <w:rsid w:val="6AEF0D51"/>
    <w:rsid w:val="6EB9747D"/>
    <w:rsid w:val="6F8F5801"/>
    <w:rsid w:val="700B7DE2"/>
    <w:rsid w:val="71653017"/>
    <w:rsid w:val="71986867"/>
    <w:rsid w:val="72F36789"/>
    <w:rsid w:val="73D67CF5"/>
    <w:rsid w:val="74545002"/>
    <w:rsid w:val="74DE38E7"/>
    <w:rsid w:val="74E3353A"/>
    <w:rsid w:val="76606DEF"/>
    <w:rsid w:val="771067A1"/>
    <w:rsid w:val="778772CA"/>
    <w:rsid w:val="7B1511FF"/>
    <w:rsid w:val="7B3069CD"/>
    <w:rsid w:val="7B877ADF"/>
    <w:rsid w:val="7CE37491"/>
    <w:rsid w:val="7D2323C1"/>
    <w:rsid w:val="7E296DE4"/>
    <w:rsid w:val="7F230A24"/>
    <w:rsid w:val="7F7E5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68"/>
    <w:qFormat/>
    <w:uiPriority w:val="0"/>
    <w:pPr>
      <w:keepNext/>
      <w:keepLines/>
      <w:spacing w:before="100" w:beforeLines="100" w:after="100" w:afterLines="100" w:line="568" w:lineRule="exact"/>
      <w:jc w:val="center"/>
      <w:outlineLvl w:val="0"/>
    </w:pPr>
    <w:rPr>
      <w:rFonts w:eastAsia="黑体"/>
      <w:b/>
      <w:bCs/>
      <w:kern w:val="44"/>
      <w:sz w:val="32"/>
      <w:szCs w:val="44"/>
    </w:rPr>
  </w:style>
  <w:style w:type="paragraph" w:styleId="4">
    <w:name w:val="heading 2"/>
    <w:basedOn w:val="1"/>
    <w:next w:val="1"/>
    <w:link w:val="98"/>
    <w:qFormat/>
    <w:uiPriority w:val="0"/>
    <w:pPr>
      <w:keepNext/>
      <w:keepLines/>
      <w:spacing w:line="600" w:lineRule="exact"/>
      <w:ind w:firstLine="643" w:firstLineChars="200"/>
      <w:jc w:val="left"/>
      <w:outlineLvl w:val="1"/>
    </w:pPr>
    <w:rPr>
      <w:rFonts w:ascii="Cambria" w:hAnsi="Cambria" w:eastAsia="楷体_GB2312"/>
      <w:b/>
      <w:bCs/>
      <w:sz w:val="32"/>
      <w:szCs w:val="32"/>
    </w:rPr>
  </w:style>
  <w:style w:type="paragraph" w:styleId="5">
    <w:name w:val="heading 3"/>
    <w:basedOn w:val="1"/>
    <w:next w:val="1"/>
    <w:link w:val="63"/>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83"/>
    <w:unhideWhenUsed/>
    <w:qFormat/>
    <w:uiPriority w:val="0"/>
    <w:pPr>
      <w:keepNext/>
      <w:keepLines/>
      <w:spacing w:before="280" w:after="290" w:line="374" w:lineRule="auto"/>
      <w:ind w:firstLine="200" w:firstLineChars="200"/>
      <w:outlineLvl w:val="3"/>
    </w:pPr>
    <w:rPr>
      <w:rFonts w:ascii="Calibri Light" w:hAnsi="Calibri Light"/>
      <w:b/>
      <w:bCs/>
      <w:sz w:val="24"/>
      <w:szCs w:val="28"/>
    </w:rPr>
  </w:style>
  <w:style w:type="paragraph" w:styleId="7">
    <w:name w:val="heading 5"/>
    <w:basedOn w:val="1"/>
    <w:next w:val="1"/>
    <w:link w:val="65"/>
    <w:unhideWhenUsed/>
    <w:qFormat/>
    <w:uiPriority w:val="0"/>
    <w:pPr>
      <w:keepNext/>
      <w:keepLines/>
      <w:spacing w:before="280" w:after="290" w:line="374" w:lineRule="auto"/>
      <w:outlineLvl w:val="4"/>
    </w:pPr>
    <w:rPr>
      <w:b/>
      <w:bCs/>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1"/>
    <w:link w:val="67"/>
    <w:qFormat/>
    <w:uiPriority w:val="99"/>
    <w:pPr>
      <w:spacing w:line="360" w:lineRule="auto"/>
      <w:ind w:firstLine="567"/>
    </w:pPr>
    <w:rPr>
      <w:kern w:val="10"/>
      <w:sz w:val="24"/>
    </w:rPr>
  </w:style>
  <w:style w:type="paragraph" w:styleId="8">
    <w:name w:val="toc 7"/>
    <w:basedOn w:val="1"/>
    <w:next w:val="1"/>
    <w:unhideWhenUsed/>
    <w:qFormat/>
    <w:uiPriority w:val="39"/>
    <w:pPr>
      <w:ind w:left="1260"/>
      <w:jc w:val="left"/>
    </w:pPr>
    <w:rPr>
      <w:sz w:val="18"/>
      <w:szCs w:val="18"/>
    </w:rPr>
  </w:style>
  <w:style w:type="paragraph" w:styleId="9">
    <w:name w:val="caption"/>
    <w:next w:val="1"/>
    <w:unhideWhenUsed/>
    <w:qFormat/>
    <w:uiPriority w:val="0"/>
    <w:pPr>
      <w:spacing w:afterLines="50" w:line="288" w:lineRule="auto"/>
      <w:jc w:val="center"/>
    </w:pPr>
    <w:rPr>
      <w:rFonts w:ascii="Cambria" w:hAnsi="Cambria" w:eastAsia="黑体" w:cs="Times New Roman"/>
      <w:kern w:val="2"/>
      <w:sz w:val="21"/>
      <w:lang w:val="en-US" w:eastAsia="zh-CN" w:bidi="ar-SA"/>
    </w:rPr>
  </w:style>
  <w:style w:type="paragraph" w:styleId="10">
    <w:name w:val="Document Map"/>
    <w:basedOn w:val="1"/>
    <w:link w:val="92"/>
    <w:unhideWhenUsed/>
    <w:qFormat/>
    <w:uiPriority w:val="0"/>
    <w:rPr>
      <w:rFonts w:ascii="宋体"/>
      <w:kern w:val="0"/>
      <w:sz w:val="18"/>
      <w:szCs w:val="18"/>
    </w:rPr>
  </w:style>
  <w:style w:type="paragraph" w:styleId="11">
    <w:name w:val="annotation text"/>
    <w:basedOn w:val="1"/>
    <w:link w:val="62"/>
    <w:qFormat/>
    <w:uiPriority w:val="99"/>
    <w:pPr>
      <w:jc w:val="left"/>
    </w:pPr>
  </w:style>
  <w:style w:type="paragraph" w:styleId="12">
    <w:name w:val="Body Text"/>
    <w:basedOn w:val="1"/>
    <w:link w:val="66"/>
    <w:unhideWhenUsed/>
    <w:qFormat/>
    <w:uiPriority w:val="99"/>
    <w:pPr>
      <w:spacing w:after="120"/>
    </w:pPr>
  </w:style>
  <w:style w:type="paragraph" w:styleId="13">
    <w:name w:val="Body Text Indent"/>
    <w:basedOn w:val="1"/>
    <w:next w:val="14"/>
    <w:link w:val="70"/>
    <w:unhideWhenUsed/>
    <w:qFormat/>
    <w:uiPriority w:val="99"/>
    <w:pPr>
      <w:spacing w:after="120"/>
      <w:ind w:left="420" w:leftChars="200"/>
    </w:pPr>
  </w:style>
  <w:style w:type="paragraph" w:styleId="14">
    <w:name w:val="Body Text Indent 2"/>
    <w:basedOn w:val="1"/>
    <w:qFormat/>
    <w:uiPriority w:val="0"/>
    <w:pPr>
      <w:spacing w:line="500" w:lineRule="exact"/>
      <w:ind w:firstLine="564"/>
    </w:pPr>
  </w:style>
  <w:style w:type="paragraph" w:styleId="15">
    <w:name w:val="toc 5"/>
    <w:basedOn w:val="1"/>
    <w:next w:val="1"/>
    <w:unhideWhenUsed/>
    <w:qFormat/>
    <w:uiPriority w:val="39"/>
    <w:pPr>
      <w:ind w:left="840"/>
      <w:jc w:val="left"/>
    </w:pPr>
    <w:rPr>
      <w:sz w:val="18"/>
      <w:szCs w:val="18"/>
    </w:rPr>
  </w:style>
  <w:style w:type="paragraph" w:styleId="16">
    <w:name w:val="toc 3"/>
    <w:basedOn w:val="1"/>
    <w:next w:val="1"/>
    <w:unhideWhenUsed/>
    <w:qFormat/>
    <w:uiPriority w:val="39"/>
    <w:pPr>
      <w:ind w:left="420"/>
      <w:jc w:val="left"/>
    </w:pPr>
    <w:rPr>
      <w:i/>
      <w:iCs/>
      <w:sz w:val="20"/>
      <w:szCs w:val="20"/>
    </w:rPr>
  </w:style>
  <w:style w:type="paragraph" w:styleId="17">
    <w:name w:val="toc 8"/>
    <w:basedOn w:val="1"/>
    <w:next w:val="1"/>
    <w:unhideWhenUsed/>
    <w:qFormat/>
    <w:uiPriority w:val="39"/>
    <w:pPr>
      <w:ind w:left="1470"/>
      <w:jc w:val="left"/>
    </w:pPr>
    <w:rPr>
      <w:sz w:val="18"/>
      <w:szCs w:val="18"/>
    </w:rPr>
  </w:style>
  <w:style w:type="paragraph" w:styleId="18">
    <w:name w:val="Date"/>
    <w:basedOn w:val="1"/>
    <w:next w:val="1"/>
    <w:link w:val="90"/>
    <w:unhideWhenUsed/>
    <w:qFormat/>
    <w:uiPriority w:val="0"/>
    <w:pPr>
      <w:ind w:left="100" w:leftChars="2500"/>
    </w:pPr>
    <w:rPr>
      <w:kern w:val="0"/>
      <w:sz w:val="20"/>
      <w:szCs w:val="20"/>
    </w:rPr>
  </w:style>
  <w:style w:type="paragraph" w:styleId="19">
    <w:name w:val="Balloon Text"/>
    <w:basedOn w:val="1"/>
    <w:link w:val="91"/>
    <w:unhideWhenUsed/>
    <w:qFormat/>
    <w:uiPriority w:val="99"/>
    <w:rPr>
      <w:kern w:val="0"/>
      <w:sz w:val="18"/>
      <w:szCs w:val="18"/>
    </w:rPr>
  </w:style>
  <w:style w:type="paragraph" w:styleId="20">
    <w:name w:val="footer"/>
    <w:basedOn w:val="1"/>
    <w:link w:val="74"/>
    <w:qFormat/>
    <w:uiPriority w:val="99"/>
    <w:pPr>
      <w:tabs>
        <w:tab w:val="center" w:pos="4153"/>
        <w:tab w:val="right" w:pos="8306"/>
      </w:tabs>
      <w:snapToGrid w:val="0"/>
      <w:jc w:val="left"/>
    </w:pPr>
    <w:rPr>
      <w:sz w:val="18"/>
      <w:szCs w:val="18"/>
    </w:rPr>
  </w:style>
  <w:style w:type="paragraph" w:styleId="21">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unhideWhenUsed/>
    <w:qFormat/>
    <w:uiPriority w:val="39"/>
    <w:pPr>
      <w:spacing w:before="120" w:after="120"/>
      <w:jc w:val="left"/>
    </w:pPr>
    <w:rPr>
      <w:b/>
      <w:bCs/>
      <w:caps/>
      <w:sz w:val="20"/>
      <w:szCs w:val="20"/>
    </w:rPr>
  </w:style>
  <w:style w:type="paragraph" w:styleId="23">
    <w:name w:val="toc 4"/>
    <w:basedOn w:val="1"/>
    <w:next w:val="1"/>
    <w:unhideWhenUsed/>
    <w:qFormat/>
    <w:uiPriority w:val="39"/>
    <w:pPr>
      <w:ind w:left="630"/>
      <w:jc w:val="left"/>
    </w:pPr>
    <w:rPr>
      <w:sz w:val="18"/>
      <w:szCs w:val="18"/>
    </w:rPr>
  </w:style>
  <w:style w:type="paragraph" w:styleId="24">
    <w:name w:val="toc 6"/>
    <w:basedOn w:val="1"/>
    <w:next w:val="1"/>
    <w:unhideWhenUsed/>
    <w:qFormat/>
    <w:uiPriority w:val="39"/>
    <w:pPr>
      <w:ind w:left="1050"/>
      <w:jc w:val="left"/>
    </w:pPr>
    <w:rPr>
      <w:sz w:val="18"/>
      <w:szCs w:val="18"/>
    </w:rPr>
  </w:style>
  <w:style w:type="paragraph" w:styleId="25">
    <w:name w:val="toc 2"/>
    <w:basedOn w:val="1"/>
    <w:next w:val="1"/>
    <w:unhideWhenUsed/>
    <w:qFormat/>
    <w:uiPriority w:val="39"/>
    <w:pPr>
      <w:ind w:left="210"/>
      <w:jc w:val="left"/>
    </w:pPr>
    <w:rPr>
      <w:smallCaps/>
      <w:sz w:val="20"/>
      <w:szCs w:val="20"/>
    </w:rPr>
  </w:style>
  <w:style w:type="paragraph" w:styleId="26">
    <w:name w:val="toc 9"/>
    <w:basedOn w:val="1"/>
    <w:next w:val="1"/>
    <w:unhideWhenUsed/>
    <w:qFormat/>
    <w:uiPriority w:val="39"/>
    <w:pPr>
      <w:ind w:left="1680"/>
      <w:jc w:val="left"/>
    </w:pPr>
    <w:rPr>
      <w:sz w:val="18"/>
      <w:szCs w:val="18"/>
    </w:rPr>
  </w:style>
  <w:style w:type="paragraph" w:styleId="27">
    <w:name w:val="HTML Preformatted"/>
    <w:basedOn w:val="1"/>
    <w:link w:val="72"/>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2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9">
    <w:name w:val="annotation subject"/>
    <w:basedOn w:val="11"/>
    <w:next w:val="11"/>
    <w:link w:val="77"/>
    <w:unhideWhenUsed/>
    <w:qFormat/>
    <w:uiPriority w:val="99"/>
    <w:rPr>
      <w:b/>
      <w:bCs/>
      <w:kern w:val="0"/>
      <w:sz w:val="20"/>
      <w:szCs w:val="20"/>
    </w:rPr>
  </w:style>
  <w:style w:type="paragraph" w:styleId="30">
    <w:name w:val="Body Text First Indent 2"/>
    <w:basedOn w:val="13"/>
    <w:next w:val="1"/>
    <w:link w:val="71"/>
    <w:unhideWhenUsed/>
    <w:qFormat/>
    <w:uiPriority w:val="99"/>
    <w:pPr>
      <w:ind w:firstLine="420" w:firstLineChars="200"/>
    </w:pPr>
    <w:rPr>
      <w:szCs w:val="21"/>
    </w:rPr>
  </w:style>
  <w:style w:type="table" w:styleId="32">
    <w:name w:val="Table Grid"/>
    <w:basedOn w:val="3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0"/>
    <w:rPr>
      <w:b/>
    </w:rPr>
  </w:style>
  <w:style w:type="character" w:styleId="35">
    <w:name w:val="FollowedHyperlink"/>
    <w:unhideWhenUsed/>
    <w:qFormat/>
    <w:uiPriority w:val="99"/>
    <w:rPr>
      <w:color w:val="954F72"/>
      <w:u w:val="single"/>
    </w:rPr>
  </w:style>
  <w:style w:type="character" w:styleId="36">
    <w:name w:val="Hyperlink"/>
    <w:unhideWhenUsed/>
    <w:qFormat/>
    <w:uiPriority w:val="99"/>
    <w:rPr>
      <w:rFonts w:hint="default" w:ascii="Times New Roman" w:hAnsi="Times New Roman" w:cs="Times New Roman"/>
      <w:color w:val="0000FF"/>
      <w:u w:val="single"/>
    </w:rPr>
  </w:style>
  <w:style w:type="character" w:styleId="37">
    <w:name w:val="annotation reference"/>
    <w:qFormat/>
    <w:uiPriority w:val="99"/>
    <w:rPr>
      <w:sz w:val="21"/>
      <w:szCs w:val="21"/>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9">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40">
    <w:name w:val="列表段落1"/>
    <w:basedOn w:val="1"/>
    <w:qFormat/>
    <w:uiPriority w:val="99"/>
    <w:pPr>
      <w:ind w:firstLine="420" w:firstLineChars="200"/>
    </w:pPr>
  </w:style>
  <w:style w:type="paragraph" w:customStyle="1" w:styleId="41">
    <w:name w:val="Body text|1"/>
    <w:basedOn w:val="1"/>
    <w:qFormat/>
    <w:uiPriority w:val="0"/>
    <w:pPr>
      <w:spacing w:line="348" w:lineRule="auto"/>
      <w:ind w:firstLine="400"/>
    </w:pPr>
    <w:rPr>
      <w:rFonts w:ascii="宋体" w:hAnsi="宋体" w:cs="宋体"/>
      <w:sz w:val="28"/>
      <w:szCs w:val="28"/>
      <w:lang w:val="zh-TW" w:eastAsia="zh-TW" w:bidi="zh-TW"/>
    </w:rPr>
  </w:style>
  <w:style w:type="paragraph" w:customStyle="1" w:styleId="42">
    <w:name w:val="Header or footer|1"/>
    <w:basedOn w:val="1"/>
    <w:qFormat/>
    <w:uiPriority w:val="0"/>
    <w:rPr>
      <w:rFonts w:ascii="宋体" w:hAnsi="宋体" w:cs="宋体"/>
      <w:sz w:val="20"/>
      <w:szCs w:val="20"/>
      <w:lang w:val="zh-TW" w:eastAsia="zh-TW" w:bidi="zh-TW"/>
    </w:rPr>
  </w:style>
  <w:style w:type="paragraph" w:customStyle="1" w:styleId="43">
    <w:name w:val="批注文字1"/>
    <w:basedOn w:val="1"/>
    <w:next w:val="11"/>
    <w:qFormat/>
    <w:uiPriority w:val="99"/>
    <w:pPr>
      <w:jc w:val="left"/>
    </w:pPr>
  </w:style>
  <w:style w:type="paragraph" w:customStyle="1" w:styleId="44">
    <w:name w:val="Char1 Char Char Char Char Char Char"/>
    <w:basedOn w:val="1"/>
    <w:qFormat/>
    <w:uiPriority w:val="0"/>
    <w:rPr>
      <w:rFonts w:ascii="Tahoma" w:hAnsi="Tahoma"/>
      <w:sz w:val="24"/>
      <w:szCs w:val="20"/>
    </w:rPr>
  </w:style>
  <w:style w:type="paragraph" w:customStyle="1" w:styleId="45">
    <w:name w:val="日期1"/>
    <w:basedOn w:val="1"/>
    <w:next w:val="1"/>
    <w:semiHidden/>
    <w:qFormat/>
    <w:uiPriority w:val="0"/>
    <w:pPr>
      <w:ind w:left="100" w:leftChars="2500"/>
    </w:pPr>
    <w:rPr>
      <w:rFonts w:ascii="等线" w:hAnsi="等线" w:eastAsia="等线"/>
    </w:rPr>
  </w:style>
  <w:style w:type="paragraph" w:customStyle="1" w:styleId="46">
    <w:name w:val="S-正文"/>
    <w:basedOn w:val="1"/>
    <w:qFormat/>
    <w:uiPriority w:val="0"/>
    <w:pPr>
      <w:spacing w:line="360" w:lineRule="auto"/>
      <w:ind w:firstLine="200" w:firstLineChars="200"/>
    </w:pPr>
    <w:rPr>
      <w:sz w:val="24"/>
    </w:rPr>
  </w:style>
  <w:style w:type="paragraph" w:customStyle="1" w:styleId="47">
    <w:name w:val="图表格式"/>
    <w:basedOn w:val="1"/>
    <w:qFormat/>
    <w:uiPriority w:val="0"/>
    <w:pPr>
      <w:spacing w:line="360" w:lineRule="auto"/>
      <w:jc w:val="center"/>
    </w:pPr>
    <w:rPr>
      <w:sz w:val="24"/>
    </w:rPr>
  </w:style>
  <w:style w:type="paragraph" w:customStyle="1" w:styleId="48">
    <w:name w:val="Char Char Char Char"/>
    <w:basedOn w:val="10"/>
    <w:qFormat/>
    <w:uiPriority w:val="0"/>
    <w:pPr>
      <w:widowControl/>
      <w:shd w:val="clear" w:color="auto" w:fill="000080"/>
      <w:adjustRightInd w:val="0"/>
      <w:snapToGrid w:val="0"/>
      <w:spacing w:line="360" w:lineRule="auto"/>
      <w:jc w:val="left"/>
    </w:pPr>
    <w:rPr>
      <w:rFonts w:ascii="Tahoma" w:hAnsi="Tahoma" w:cs="宋体"/>
      <w:sz w:val="24"/>
      <w:szCs w:val="24"/>
    </w:rPr>
  </w:style>
  <w:style w:type="paragraph" w:customStyle="1" w:styleId="49">
    <w:name w:val="批注框文本1"/>
    <w:basedOn w:val="1"/>
    <w:next w:val="19"/>
    <w:qFormat/>
    <w:uiPriority w:val="99"/>
    <w:rPr>
      <w:rFonts w:ascii="等线" w:hAnsi="等线" w:eastAsia="等线"/>
      <w:sz w:val="18"/>
      <w:szCs w:val="18"/>
    </w:rPr>
  </w:style>
  <w:style w:type="paragraph" w:customStyle="1" w:styleId="50">
    <w:name w:val="列表段落11"/>
    <w:basedOn w:val="1"/>
    <w:qFormat/>
    <w:uiPriority w:val="0"/>
    <w:pPr>
      <w:ind w:firstLine="420" w:firstLineChars="200"/>
    </w:pPr>
    <w:rPr>
      <w:rFonts w:eastAsia="仿宋_GB2312"/>
      <w:sz w:val="32"/>
      <w:szCs w:val="24"/>
    </w:rPr>
  </w:style>
  <w:style w:type="paragraph" w:customStyle="1" w:styleId="51">
    <w:name w:val="文档结构图1"/>
    <w:basedOn w:val="1"/>
    <w:next w:val="10"/>
    <w:semiHidden/>
    <w:qFormat/>
    <w:uiPriority w:val="0"/>
    <w:rPr>
      <w:rFonts w:ascii="宋体" w:hAnsi="等线"/>
      <w:sz w:val="18"/>
      <w:szCs w:val="18"/>
    </w:rPr>
  </w:style>
  <w:style w:type="paragraph" w:customStyle="1" w:styleId="52">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3">
    <w:name w:val="TOC 标题1"/>
    <w:basedOn w:val="3"/>
    <w:next w:val="1"/>
    <w:qFormat/>
    <w:uiPriority w:val="39"/>
    <w:pPr>
      <w:widowControl/>
      <w:spacing w:before="240" w:beforeLines="0" w:after="0" w:afterLines="0" w:line="256" w:lineRule="auto"/>
      <w:jc w:val="left"/>
      <w:outlineLvl w:val="9"/>
    </w:pPr>
    <w:rPr>
      <w:rFonts w:ascii="Calibri Light" w:hAnsi="Calibri Light" w:eastAsia="宋体"/>
      <w:b w:val="0"/>
      <w:bCs w:val="0"/>
      <w:color w:val="2D73B3"/>
      <w:kern w:val="0"/>
      <w:szCs w:val="32"/>
    </w:rPr>
  </w:style>
  <w:style w:type="paragraph" w:customStyle="1" w:styleId="54">
    <w:name w:val="TOC 标题11"/>
    <w:basedOn w:val="3"/>
    <w:next w:val="1"/>
    <w:qFormat/>
    <w:uiPriority w:val="39"/>
    <w:pPr>
      <w:widowControl/>
      <w:spacing w:before="240" w:beforeLines="0" w:after="0" w:afterLines="0" w:line="256" w:lineRule="auto"/>
      <w:jc w:val="left"/>
      <w:outlineLvl w:val="9"/>
    </w:pPr>
    <w:rPr>
      <w:rFonts w:ascii="Calibri Light" w:hAnsi="Calibri Light" w:eastAsia="宋体"/>
      <w:b w:val="0"/>
      <w:bCs w:val="0"/>
      <w:color w:val="2D73B3"/>
      <w:kern w:val="0"/>
      <w:szCs w:val="32"/>
    </w:rPr>
  </w:style>
  <w:style w:type="paragraph" w:customStyle="1" w:styleId="55">
    <w:name w:val="TOC 标题2"/>
    <w:basedOn w:val="3"/>
    <w:next w:val="1"/>
    <w:qFormat/>
    <w:uiPriority w:val="39"/>
    <w:pPr>
      <w:widowControl/>
      <w:spacing w:before="240" w:beforeLines="0" w:after="0" w:afterLines="0" w:line="256" w:lineRule="auto"/>
      <w:jc w:val="left"/>
      <w:outlineLvl w:val="9"/>
    </w:pPr>
    <w:rPr>
      <w:rFonts w:ascii="Calibri Light" w:hAnsi="Calibri Light" w:eastAsia="宋体"/>
      <w:b w:val="0"/>
      <w:bCs w:val="0"/>
      <w:color w:val="2D73B3"/>
      <w:kern w:val="0"/>
      <w:szCs w:val="32"/>
    </w:rPr>
  </w:style>
  <w:style w:type="paragraph" w:customStyle="1" w:styleId="56">
    <w:name w:val="TOC 标题3"/>
    <w:basedOn w:val="3"/>
    <w:next w:val="1"/>
    <w:qFormat/>
    <w:uiPriority w:val="39"/>
    <w:pPr>
      <w:widowControl/>
      <w:spacing w:before="240" w:beforeLines="0" w:after="0" w:afterLines="0" w:line="256" w:lineRule="auto"/>
      <w:jc w:val="left"/>
      <w:outlineLvl w:val="9"/>
    </w:pPr>
    <w:rPr>
      <w:rFonts w:ascii="Calibri Light" w:hAnsi="Calibri Light" w:eastAsia="宋体"/>
      <w:b w:val="0"/>
      <w:bCs w:val="0"/>
      <w:color w:val="2D73B3"/>
      <w:kern w:val="0"/>
      <w:szCs w:val="32"/>
    </w:rPr>
  </w:style>
  <w:style w:type="paragraph" w:customStyle="1" w:styleId="5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8">
    <w:name w:val="样式 首行缩进:  2 字符"/>
    <w:basedOn w:val="1"/>
    <w:qFormat/>
    <w:uiPriority w:val="0"/>
    <w:pPr>
      <w:adjustRightInd w:val="0"/>
      <w:snapToGrid w:val="0"/>
      <w:spacing w:line="360" w:lineRule="auto"/>
      <w:ind w:firstLine="480" w:firstLineChars="200"/>
    </w:pPr>
    <w:rPr>
      <w:rFonts w:eastAsia="仿宋" w:cs="宋体"/>
      <w:sz w:val="28"/>
      <w:szCs w:val="20"/>
    </w:rPr>
  </w:style>
  <w:style w:type="paragraph" w:customStyle="1" w:styleId="59">
    <w:name w:val="WPSOffice手动目录 1"/>
    <w:qFormat/>
    <w:uiPriority w:val="0"/>
    <w:rPr>
      <w:rFonts w:ascii="Times New Roman" w:hAnsi="Times New Roman" w:eastAsia="宋体" w:cs="Times New Roman"/>
      <w:lang w:val="en-US" w:eastAsia="zh-CN" w:bidi="ar-SA"/>
    </w:rPr>
  </w:style>
  <w:style w:type="paragraph" w:customStyle="1" w:styleId="6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61">
    <w:name w:val="UserStyle_0"/>
    <w:link w:val="100"/>
    <w:qFormat/>
    <w:uiPriority w:val="0"/>
    <w:pPr>
      <w:jc w:val="both"/>
      <w:textAlignment w:val="baseline"/>
    </w:pPr>
    <w:rPr>
      <w:rFonts w:ascii="Times New Roman" w:hAnsi="Times New Roman" w:eastAsia="宋体" w:cs="Times New Roman"/>
      <w:kern w:val="2"/>
      <w:sz w:val="21"/>
      <w:szCs w:val="21"/>
      <w:lang w:val="en-US" w:eastAsia="zh-CN" w:bidi="ar-SA"/>
    </w:rPr>
  </w:style>
  <w:style w:type="character" w:customStyle="1" w:styleId="62">
    <w:name w:val="批注文字 字符"/>
    <w:link w:val="11"/>
    <w:qFormat/>
    <w:uiPriority w:val="99"/>
    <w:rPr>
      <w:kern w:val="2"/>
      <w:sz w:val="21"/>
      <w:szCs w:val="22"/>
    </w:rPr>
  </w:style>
  <w:style w:type="character" w:customStyle="1" w:styleId="63">
    <w:name w:val="标题 3 字符"/>
    <w:link w:val="5"/>
    <w:semiHidden/>
    <w:qFormat/>
    <w:uiPriority w:val="0"/>
    <w:rPr>
      <w:b/>
      <w:bCs/>
      <w:kern w:val="2"/>
      <w:sz w:val="32"/>
      <w:szCs w:val="32"/>
    </w:rPr>
  </w:style>
  <w:style w:type="character" w:customStyle="1" w:styleId="64">
    <w:name w:val="标题 4 字符"/>
    <w:semiHidden/>
    <w:qFormat/>
    <w:uiPriority w:val="0"/>
    <w:rPr>
      <w:rFonts w:ascii="Calibri Light" w:hAnsi="Calibri Light" w:eastAsia="宋体" w:cs="黑体"/>
      <w:b/>
      <w:bCs/>
      <w:kern w:val="2"/>
      <w:sz w:val="28"/>
      <w:szCs w:val="28"/>
    </w:rPr>
  </w:style>
  <w:style w:type="character" w:customStyle="1" w:styleId="65">
    <w:name w:val="标题 5 字符"/>
    <w:link w:val="7"/>
    <w:semiHidden/>
    <w:qFormat/>
    <w:uiPriority w:val="0"/>
    <w:rPr>
      <w:b/>
      <w:bCs/>
      <w:kern w:val="2"/>
      <w:sz w:val="28"/>
      <w:szCs w:val="28"/>
    </w:rPr>
  </w:style>
  <w:style w:type="character" w:customStyle="1" w:styleId="66">
    <w:name w:val="正文文本 字符"/>
    <w:link w:val="12"/>
    <w:qFormat/>
    <w:uiPriority w:val="99"/>
    <w:rPr>
      <w:kern w:val="2"/>
      <w:sz w:val="21"/>
      <w:szCs w:val="22"/>
    </w:rPr>
  </w:style>
  <w:style w:type="character" w:customStyle="1" w:styleId="67">
    <w:name w:val="正文文本首行缩进 字符"/>
    <w:link w:val="2"/>
    <w:qFormat/>
    <w:uiPriority w:val="99"/>
    <w:rPr>
      <w:kern w:val="10"/>
      <w:sz w:val="24"/>
      <w:szCs w:val="22"/>
    </w:rPr>
  </w:style>
  <w:style w:type="character" w:customStyle="1" w:styleId="68">
    <w:name w:val="标题 1 字符"/>
    <w:link w:val="3"/>
    <w:qFormat/>
    <w:uiPriority w:val="0"/>
    <w:rPr>
      <w:rFonts w:eastAsia="黑体"/>
      <w:b/>
      <w:bCs/>
      <w:kern w:val="44"/>
      <w:sz w:val="32"/>
      <w:szCs w:val="44"/>
    </w:rPr>
  </w:style>
  <w:style w:type="character" w:customStyle="1" w:styleId="69">
    <w:name w:val="标题 2 字符"/>
    <w:semiHidden/>
    <w:qFormat/>
    <w:uiPriority w:val="0"/>
    <w:rPr>
      <w:rFonts w:ascii="Calibri Light" w:hAnsi="Calibri Light" w:eastAsia="宋体" w:cs="黑体"/>
      <w:b/>
      <w:bCs/>
      <w:kern w:val="2"/>
      <w:sz w:val="32"/>
      <w:szCs w:val="32"/>
    </w:rPr>
  </w:style>
  <w:style w:type="character" w:customStyle="1" w:styleId="70">
    <w:name w:val="正文文本缩进 字符"/>
    <w:link w:val="13"/>
    <w:qFormat/>
    <w:uiPriority w:val="99"/>
    <w:rPr>
      <w:kern w:val="2"/>
      <w:sz w:val="21"/>
      <w:szCs w:val="22"/>
    </w:rPr>
  </w:style>
  <w:style w:type="character" w:customStyle="1" w:styleId="71">
    <w:name w:val="正文文本首行缩进 2 字符"/>
    <w:link w:val="30"/>
    <w:qFormat/>
    <w:uiPriority w:val="99"/>
    <w:rPr>
      <w:kern w:val="2"/>
      <w:sz w:val="21"/>
      <w:szCs w:val="21"/>
    </w:rPr>
  </w:style>
  <w:style w:type="character" w:customStyle="1" w:styleId="72">
    <w:name w:val="HTML 预设格式 字符"/>
    <w:link w:val="27"/>
    <w:qFormat/>
    <w:uiPriority w:val="99"/>
    <w:rPr>
      <w:rFonts w:ascii="Courier New" w:hAnsi="Courier New" w:cs="Courier New"/>
      <w:kern w:val="2"/>
    </w:rPr>
  </w:style>
  <w:style w:type="character" w:customStyle="1" w:styleId="73">
    <w:name w:val="页眉 字符"/>
    <w:link w:val="21"/>
    <w:qFormat/>
    <w:uiPriority w:val="99"/>
    <w:rPr>
      <w:kern w:val="2"/>
      <w:sz w:val="18"/>
      <w:szCs w:val="18"/>
    </w:rPr>
  </w:style>
  <w:style w:type="character" w:customStyle="1" w:styleId="74">
    <w:name w:val="页脚 字符"/>
    <w:link w:val="20"/>
    <w:qFormat/>
    <w:uiPriority w:val="99"/>
    <w:rPr>
      <w:kern w:val="2"/>
      <w:sz w:val="18"/>
      <w:szCs w:val="18"/>
    </w:rPr>
  </w:style>
  <w:style w:type="character" w:customStyle="1" w:styleId="75">
    <w:name w:val="日期 字符"/>
    <w:qFormat/>
    <w:uiPriority w:val="0"/>
    <w:rPr>
      <w:kern w:val="2"/>
      <w:sz w:val="21"/>
      <w:szCs w:val="22"/>
    </w:rPr>
  </w:style>
  <w:style w:type="character" w:customStyle="1" w:styleId="76">
    <w:name w:val="文档结构图 字符"/>
    <w:qFormat/>
    <w:uiPriority w:val="0"/>
    <w:rPr>
      <w:rFonts w:ascii="Microsoft YaHei UI" w:eastAsia="Microsoft YaHei UI"/>
      <w:kern w:val="2"/>
      <w:sz w:val="18"/>
      <w:szCs w:val="18"/>
    </w:rPr>
  </w:style>
  <w:style w:type="character" w:customStyle="1" w:styleId="77">
    <w:name w:val="批注主题 字符"/>
    <w:link w:val="29"/>
    <w:qFormat/>
    <w:uiPriority w:val="99"/>
    <w:rPr>
      <w:b/>
      <w:bCs/>
      <w:kern w:val="2"/>
      <w:sz w:val="21"/>
      <w:szCs w:val="22"/>
    </w:rPr>
  </w:style>
  <w:style w:type="character" w:customStyle="1" w:styleId="78">
    <w:name w:val="批注框文本 字符"/>
    <w:qFormat/>
    <w:uiPriority w:val="99"/>
    <w:rPr>
      <w:kern w:val="2"/>
      <w:sz w:val="18"/>
      <w:szCs w:val="18"/>
    </w:rPr>
  </w:style>
  <w:style w:type="character" w:customStyle="1" w:styleId="79">
    <w:name w:val="font01"/>
    <w:qFormat/>
    <w:uiPriority w:val="0"/>
    <w:rPr>
      <w:rFonts w:hint="default" w:ascii="Times New Roman" w:hAnsi="Times New Roman" w:cs="Times New Roman"/>
      <w:color w:val="000000"/>
      <w:sz w:val="21"/>
      <w:szCs w:val="21"/>
      <w:u w:val="none"/>
    </w:rPr>
  </w:style>
  <w:style w:type="character" w:customStyle="1" w:styleId="80">
    <w:name w:val="font11"/>
    <w:qFormat/>
    <w:uiPriority w:val="0"/>
    <w:rPr>
      <w:rFonts w:hint="eastAsia" w:ascii="仿宋_GB2312" w:eastAsia="仿宋_GB2312" w:cs="仿宋_GB2312"/>
      <w:color w:val="000000"/>
      <w:sz w:val="21"/>
      <w:szCs w:val="21"/>
      <w:u w:val="none"/>
    </w:rPr>
  </w:style>
  <w:style w:type="character" w:customStyle="1" w:styleId="81">
    <w:name w:val="font41"/>
    <w:qFormat/>
    <w:uiPriority w:val="0"/>
    <w:rPr>
      <w:rFonts w:hint="default" w:ascii="Times New Roman" w:hAnsi="Times New Roman" w:cs="Times New Roman"/>
      <w:color w:val="000000"/>
      <w:sz w:val="24"/>
      <w:szCs w:val="24"/>
      <w:u w:val="none"/>
    </w:rPr>
  </w:style>
  <w:style w:type="character" w:customStyle="1" w:styleId="82">
    <w:name w:val="font31"/>
    <w:qFormat/>
    <w:uiPriority w:val="0"/>
    <w:rPr>
      <w:rFonts w:hint="eastAsia" w:ascii="宋体" w:hAnsi="宋体" w:eastAsia="宋体" w:cs="宋体"/>
      <w:color w:val="000000"/>
      <w:sz w:val="22"/>
      <w:szCs w:val="22"/>
      <w:u w:val="none"/>
    </w:rPr>
  </w:style>
  <w:style w:type="character" w:customStyle="1" w:styleId="83">
    <w:name w:val="标题 4 字符1"/>
    <w:link w:val="6"/>
    <w:semiHidden/>
    <w:qFormat/>
    <w:locked/>
    <w:uiPriority w:val="0"/>
    <w:rPr>
      <w:rFonts w:ascii="Calibri Light" w:hAnsi="Calibri Light"/>
      <w:b/>
      <w:bCs/>
      <w:kern w:val="2"/>
      <w:sz w:val="24"/>
      <w:szCs w:val="28"/>
    </w:rPr>
  </w:style>
  <w:style w:type="character" w:customStyle="1" w:styleId="84">
    <w:name w:val="日期 字符1"/>
    <w:semiHidden/>
    <w:qFormat/>
    <w:uiPriority w:val="99"/>
    <w:rPr>
      <w:rFonts w:hint="default" w:ascii="Times New Roman" w:hAnsi="Times New Roman" w:eastAsia="宋体" w:cs="Times New Roman"/>
    </w:rPr>
  </w:style>
  <w:style w:type="character" w:customStyle="1" w:styleId="85">
    <w:name w:val="批注文字 字符1"/>
    <w:qFormat/>
    <w:uiPriority w:val="99"/>
    <w:rPr>
      <w:rFonts w:hint="default" w:ascii="Times New Roman" w:hAnsi="Times New Roman" w:eastAsia="宋体" w:cs="Times New Roman"/>
    </w:rPr>
  </w:style>
  <w:style w:type="character" w:customStyle="1" w:styleId="86">
    <w:name w:val="批注框文本 字符1"/>
    <w:semiHidden/>
    <w:qFormat/>
    <w:uiPriority w:val="99"/>
    <w:rPr>
      <w:rFonts w:hint="default" w:ascii="Times New Roman" w:hAnsi="Times New Roman" w:eastAsia="宋体" w:cs="Times New Roman"/>
      <w:sz w:val="18"/>
      <w:szCs w:val="18"/>
    </w:rPr>
  </w:style>
  <w:style w:type="character" w:customStyle="1" w:styleId="87">
    <w:name w:val="批注文字 字符2"/>
    <w:semiHidden/>
    <w:qFormat/>
    <w:locked/>
    <w:uiPriority w:val="99"/>
    <w:rPr>
      <w:kern w:val="2"/>
      <w:sz w:val="21"/>
      <w:szCs w:val="22"/>
    </w:rPr>
  </w:style>
  <w:style w:type="character" w:customStyle="1" w:styleId="88">
    <w:name w:val="批注主题 字符1"/>
    <w:qFormat/>
    <w:uiPriority w:val="99"/>
    <w:rPr>
      <w:b/>
      <w:bCs/>
      <w:kern w:val="2"/>
      <w:sz w:val="21"/>
      <w:szCs w:val="22"/>
    </w:rPr>
  </w:style>
  <w:style w:type="character" w:customStyle="1" w:styleId="89">
    <w:name w:val="文档结构图 字符1"/>
    <w:semiHidden/>
    <w:qFormat/>
    <w:uiPriority w:val="99"/>
    <w:rPr>
      <w:rFonts w:hint="eastAsia" w:ascii="Microsoft YaHei UI" w:hAnsi="Times New Roman" w:eastAsia="Microsoft YaHei UI" w:cs="Times New Roman"/>
      <w:sz w:val="18"/>
      <w:szCs w:val="18"/>
    </w:rPr>
  </w:style>
  <w:style w:type="character" w:customStyle="1" w:styleId="90">
    <w:name w:val="日期 字符2"/>
    <w:basedOn w:val="33"/>
    <w:link w:val="18"/>
    <w:qFormat/>
    <w:locked/>
    <w:uiPriority w:val="0"/>
  </w:style>
  <w:style w:type="character" w:customStyle="1" w:styleId="91">
    <w:name w:val="批注框文本 字符2"/>
    <w:link w:val="19"/>
    <w:qFormat/>
    <w:locked/>
    <w:uiPriority w:val="99"/>
    <w:rPr>
      <w:sz w:val="18"/>
      <w:szCs w:val="18"/>
    </w:rPr>
  </w:style>
  <w:style w:type="character" w:customStyle="1" w:styleId="92">
    <w:name w:val="文档结构图 字符2"/>
    <w:link w:val="10"/>
    <w:qFormat/>
    <w:locked/>
    <w:uiPriority w:val="0"/>
    <w:rPr>
      <w:rFonts w:ascii="宋体"/>
      <w:sz w:val="18"/>
      <w:szCs w:val="18"/>
    </w:rPr>
  </w:style>
  <w:style w:type="character" w:customStyle="1" w:styleId="93">
    <w:name w:val="未处理的提及1"/>
    <w:semiHidden/>
    <w:qFormat/>
    <w:uiPriority w:val="99"/>
    <w:rPr>
      <w:color w:val="605E5C"/>
      <w:shd w:val="clear" w:color="auto" w:fill="E1DFDD"/>
    </w:rPr>
  </w:style>
  <w:style w:type="character" w:customStyle="1" w:styleId="94">
    <w:name w:val="未处理的提及11"/>
    <w:semiHidden/>
    <w:qFormat/>
    <w:uiPriority w:val="99"/>
    <w:rPr>
      <w:color w:val="605E5C"/>
      <w:shd w:val="clear" w:color="auto" w:fill="E1DFDD"/>
    </w:rPr>
  </w:style>
  <w:style w:type="character" w:customStyle="1" w:styleId="95">
    <w:name w:val="批注主题 Char1"/>
    <w:qFormat/>
    <w:uiPriority w:val="0"/>
    <w:rPr>
      <w:rFonts w:hint="default" w:ascii="Calibri" w:hAnsi="Calibri" w:eastAsia="宋体" w:cs="黑体"/>
      <w:b/>
      <w:bCs/>
      <w:kern w:val="2"/>
      <w:sz w:val="28"/>
      <w:szCs w:val="28"/>
      <w:lang w:val="en-US" w:eastAsia="zh-CN" w:bidi="ar-SA"/>
    </w:rPr>
  </w:style>
  <w:style w:type="character" w:customStyle="1" w:styleId="96">
    <w:name w:val="未处理的提及2"/>
    <w:semiHidden/>
    <w:qFormat/>
    <w:uiPriority w:val="99"/>
    <w:rPr>
      <w:color w:val="605E5C"/>
      <w:shd w:val="clear" w:color="auto" w:fill="E1DFDD"/>
    </w:rPr>
  </w:style>
  <w:style w:type="character" w:customStyle="1" w:styleId="97">
    <w:name w:val="正文文本缩进 字符1"/>
    <w:qFormat/>
    <w:uiPriority w:val="0"/>
    <w:rPr>
      <w:kern w:val="2"/>
      <w:sz w:val="21"/>
      <w:szCs w:val="22"/>
    </w:rPr>
  </w:style>
  <w:style w:type="character" w:customStyle="1" w:styleId="98">
    <w:name w:val="标题 2 字符1"/>
    <w:link w:val="4"/>
    <w:qFormat/>
    <w:locked/>
    <w:uiPriority w:val="0"/>
    <w:rPr>
      <w:rFonts w:ascii="Cambria" w:hAnsi="Cambria" w:eastAsia="楷体_GB2312"/>
      <w:b/>
      <w:bCs/>
      <w:kern w:val="2"/>
      <w:sz w:val="32"/>
      <w:szCs w:val="32"/>
    </w:rPr>
  </w:style>
  <w:style w:type="character" w:customStyle="1" w:styleId="99">
    <w:name w:val="正文文本首行缩进 2 字符1"/>
    <w:qFormat/>
    <w:uiPriority w:val="0"/>
    <w:rPr>
      <w:kern w:val="2"/>
      <w:sz w:val="21"/>
      <w:szCs w:val="22"/>
    </w:rPr>
  </w:style>
  <w:style w:type="character" w:customStyle="1" w:styleId="100">
    <w:name w:val="NormalCharacter"/>
    <w:link w:val="61"/>
    <w:qFormat/>
    <w:uiPriority w:val="0"/>
    <w:rPr>
      <w:rFonts w:ascii="Times New Roman" w:hAnsi="Times New Roman" w:eastAsia="宋体" w:cs="Times New Roman"/>
      <w:kern w:val="2"/>
      <w:sz w:val="21"/>
      <w:szCs w:val="21"/>
      <w:lang w:val="en-US" w:eastAsia="zh-CN" w:bidi="ar-SA"/>
    </w:rPr>
  </w:style>
  <w:style w:type="table" w:customStyle="1" w:styleId="101">
    <w:name w:val="TableGrid"/>
    <w:qFormat/>
    <w:uiPriority w:val="0"/>
    <w:tblPr>
      <w:tblCellMar>
        <w:top w:w="0" w:type="dxa"/>
        <w:left w:w="0" w:type="dxa"/>
        <w:bottom w:w="0" w:type="dxa"/>
        <w:right w:w="0" w:type="dxa"/>
      </w:tblCellMar>
    </w:tblPr>
  </w:style>
  <w:style w:type="table" w:customStyle="1" w:styleId="102">
    <w:name w:val="网格型24"/>
    <w:basedOn w:val="31"/>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
    <w:name w:val="网格型1"/>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1"/>
    <customShpInfo spid="_x0000_s2050"/>
    <customShpInfo spid="_x0000_s2049"/>
    <customShpInfo spid="_x0000_s1029"/>
    <customShpInfo spid="_x0000_s1030"/>
    <customShpInfo spid="_x0000_s1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50</Pages>
  <Words>24627</Words>
  <Characters>25203</Characters>
  <Lines>234</Lines>
  <Paragraphs>66</Paragraphs>
  <TotalTime>6</TotalTime>
  <ScaleCrop>false</ScaleCrop>
  <LinksUpToDate>false</LinksUpToDate>
  <CharactersWithSpaces>25260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2021-11-06T10:38:00Z</dcterms:created>
  <dc:creator>青田云水，怅望遥</dc:creator>
  <cp:lastModifiedBy>刘善</cp:lastModifiedBy>
  <dcterms:modified xsi:type="dcterms:W3CDTF">2026-03-13T03:43:12Z</dcterms:modified>
  <dc:title>宁乡市“十四五”生态环境保护规划</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6F743BDF47024A3187E4A5F0E2AA235B</vt:lpwstr>
  </property>
</Properties>
</file>