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rFonts w:hint="eastAsia"/>
          <w:sz w:val="36"/>
          <w:szCs w:val="36"/>
        </w:rPr>
      </w:pPr>
      <w:bookmarkStart w:id="0" w:name="_GoBack"/>
      <w:r>
        <w:rPr>
          <w:rFonts w:hint="eastAsia"/>
          <w:sz w:val="36"/>
          <w:szCs w:val="36"/>
          <w:lang w:val="en-US" w:eastAsia="zh-CN"/>
        </w:rPr>
        <w:t>2020年</w:t>
      </w:r>
      <w:r>
        <w:rPr>
          <w:rFonts w:hint="eastAsia"/>
          <w:sz w:val="36"/>
          <w:szCs w:val="36"/>
        </w:rPr>
        <w:t>部门整体支出绩效自评报告</w:t>
      </w:r>
    </w:p>
    <w:bookmarkEnd w:id="0"/>
    <w:p>
      <w:pPr>
        <w:pStyle w:val="8"/>
        <w:ind w:firstLine="0" w:firstLineChars="0"/>
        <w:jc w:val="center"/>
        <w:rPr>
          <w:rFonts w:hint="eastAsia"/>
          <w:lang w:eastAsia="zh-CN"/>
        </w:rPr>
      </w:pPr>
      <w:r>
        <w:rPr>
          <w:rFonts w:hint="eastAsia"/>
          <w:lang w:eastAsia="zh-CN"/>
        </w:rPr>
        <w:t>宁乡市商务局</w:t>
      </w:r>
    </w:p>
    <w:p>
      <w:pPr>
        <w:pStyle w:val="9"/>
        <w:ind w:firstLine="640"/>
        <w:rPr>
          <w:rFonts w:hint="eastAsia"/>
        </w:rPr>
      </w:pPr>
    </w:p>
    <w:p>
      <w:pPr>
        <w:pStyle w:val="9"/>
        <w:ind w:firstLine="600"/>
        <w:rPr>
          <w:rFonts w:hint="eastAsia"/>
          <w:sz w:val="30"/>
          <w:szCs w:val="30"/>
        </w:rPr>
      </w:pPr>
      <w:r>
        <w:rPr>
          <w:rFonts w:hint="eastAsia"/>
          <w:sz w:val="30"/>
          <w:szCs w:val="30"/>
        </w:rPr>
        <w:t>一、部门概况</w:t>
      </w:r>
    </w:p>
    <w:p>
      <w:pPr>
        <w:pStyle w:val="10"/>
        <w:ind w:firstLine="600"/>
        <w:rPr>
          <w:rFonts w:hint="eastAsia"/>
          <w:sz w:val="30"/>
          <w:szCs w:val="30"/>
          <w:lang w:eastAsia="zh-CN"/>
        </w:rPr>
      </w:pPr>
      <w:r>
        <w:rPr>
          <w:rFonts w:hint="eastAsia"/>
          <w:sz w:val="30"/>
          <w:szCs w:val="30"/>
          <w:lang w:eastAsia="zh-CN"/>
        </w:rPr>
        <w:t>（一）部门基本情况</w:t>
      </w:r>
    </w:p>
    <w:p>
      <w:pPr>
        <w:pStyle w:val="8"/>
        <w:ind w:firstLine="600"/>
        <w:rPr>
          <w:rFonts w:hint="eastAsia"/>
          <w:sz w:val="30"/>
          <w:szCs w:val="30"/>
          <w:lang w:eastAsia="zh-CN"/>
        </w:rPr>
      </w:pPr>
      <w:r>
        <w:rPr>
          <w:rFonts w:hint="eastAsia"/>
          <w:sz w:val="30"/>
          <w:szCs w:val="30"/>
          <w:lang w:eastAsia="zh-CN"/>
        </w:rPr>
        <w:t>1、职能职责：拟订全市现代服务业、商品流通、内外贸易的发展战略、中长期规划和年度计划并组织实施；负责全市对外贸易、承接产业转移和发展加工贸易工作及有关审批工作，负责全市服务外包产业发展工作，推动服务外包平台建设，负责全市对外经济技术合作,指导企业开展对外承包工程、设计咨询、劳务合作、境外投资等业务,负责企业对外经济合作管理工作；负责行业管理指导工作,负责成品油、餐饮、住宿、拍卖业、旧货业等行业法律、法规的贯彻实施与监督检查,配合有关部门整顿、规范商贸服务经济运行秩序；负责拟订促进城乡市场体系建设的政策、措施。参与制订城市商业网点布局规划,指导推进商业体系建设。负责汽车（含二手车、报废车）流通行业管理工作；拟订全市药品流通行业发展规划、行业标准和有关促进政策并组织实施，建立药品流通行业统计制度,推进行业信用体系建设,指导行业协会实行行业自律,开展行业培训；牵头负责全市现代物流产业发展相关工作。组织实施现代物流产业发展战略、中长期规划和相关政策，负责指导全市物流园区、物流配送中心及现代物流重点项目建设，培育现代物流企业，促进现代物流产业健康发展；负责拟订全市电子商务发展战略、中长期发展规划和电子商务产业发展政策，负责组织指导全市流通领域电子商务发展工作,支持中小企业电子商务应用，负责电子商务产业的统计和综合分析,促进全市电子商务健康发展；负责落实市场运行和调控的政策措施，监测分析市场运行和商品供求状况,协助做好重要消费品市场的调控和重要生产资料流通管理工作，负责全市社会消费品零售总额指标的监测、分析，负责统筹全市商务领域消费促进工作,提出商务领域促进消费的工作措施和政策建议。负责中小商贸流通企业服务工作，负责商务系统统计分析及其信息发布。</w:t>
      </w:r>
    </w:p>
    <w:p>
      <w:pPr>
        <w:pStyle w:val="8"/>
        <w:ind w:firstLine="600"/>
        <w:rPr>
          <w:rFonts w:hint="eastAsia"/>
          <w:sz w:val="30"/>
          <w:szCs w:val="30"/>
          <w:lang w:eastAsia="zh-CN"/>
        </w:rPr>
      </w:pPr>
      <w:r>
        <w:rPr>
          <w:rFonts w:hint="eastAsia"/>
          <w:sz w:val="30"/>
          <w:szCs w:val="30"/>
          <w:lang w:eastAsia="zh-CN"/>
        </w:rPr>
        <w:t>2、机构设置：我单位为行政机关单位，2020年底单位内设科室</w:t>
      </w:r>
      <w:r>
        <w:rPr>
          <w:rStyle w:val="6"/>
          <w:rFonts w:ascii="Calibri" w:hAnsi="Calibri" w:eastAsia="宋体" w:cs="Times New Roman"/>
          <w:lang w:eastAsia="zh-CN"/>
        </w:rPr>
        <w:commentReference w:id="0"/>
      </w:r>
      <w:r>
        <w:rPr>
          <w:rFonts w:hint="eastAsia"/>
          <w:sz w:val="30"/>
          <w:szCs w:val="30"/>
          <w:lang w:eastAsia="zh-CN"/>
        </w:rPr>
        <w:t>，7个，未独立核算的</w:t>
      </w:r>
      <w:commentRangeStart w:id="1"/>
      <w:r>
        <w:rPr>
          <w:rFonts w:hint="eastAsia"/>
          <w:sz w:val="30"/>
          <w:szCs w:val="30"/>
          <w:lang w:eastAsia="zh-CN"/>
        </w:rPr>
        <w:t>二级机构1个（电子商务服务中心）</w:t>
      </w:r>
      <w:commentRangeEnd w:id="1"/>
      <w:r>
        <w:rPr>
          <w:rStyle w:val="6"/>
          <w:rFonts w:ascii="Calibri" w:hAnsi="Calibri" w:eastAsia="宋体" w:cs="Times New Roman"/>
          <w:lang w:eastAsia="zh-CN"/>
        </w:rPr>
        <w:commentReference w:id="1"/>
      </w:r>
      <w:r>
        <w:rPr>
          <w:rFonts w:hint="eastAsia"/>
          <w:sz w:val="30"/>
          <w:szCs w:val="30"/>
          <w:lang w:eastAsia="zh-CN"/>
        </w:rPr>
        <w:t>，机关公务员编制8人，行政单位工勤编制2人，二机机构事业编制5人，合计15人。 截止至2020年12月底，全局实有在职正式职工32人，其中行政人员26人，非参公事业人员6人。另临时聘用人员</w:t>
      </w:r>
      <w:r>
        <w:rPr>
          <w:rStyle w:val="6"/>
          <w:rFonts w:ascii="Calibri" w:hAnsi="Calibri" w:eastAsia="宋体" w:cs="Times New Roman"/>
          <w:lang w:eastAsia="zh-CN"/>
        </w:rPr>
        <w:commentReference w:id="2"/>
      </w:r>
      <w:r>
        <w:rPr>
          <w:rFonts w:hint="eastAsia"/>
          <w:sz w:val="30"/>
          <w:szCs w:val="30"/>
          <w:lang w:eastAsia="zh-CN"/>
        </w:rPr>
        <w:t>5人，退休</w:t>
      </w:r>
      <w:r>
        <w:rPr>
          <w:rStyle w:val="6"/>
          <w:rFonts w:ascii="Calibri" w:hAnsi="Calibri" w:eastAsia="宋体" w:cs="Times New Roman"/>
          <w:lang w:eastAsia="zh-CN"/>
        </w:rPr>
        <w:commentReference w:id="3"/>
      </w:r>
      <w:r>
        <w:rPr>
          <w:rFonts w:hint="eastAsia"/>
          <w:sz w:val="30"/>
          <w:szCs w:val="30"/>
          <w:lang w:eastAsia="zh-CN"/>
        </w:rPr>
        <w:t>52人，离休人员3人，遗属11人。</w:t>
      </w:r>
    </w:p>
    <w:p>
      <w:pPr>
        <w:pStyle w:val="8"/>
        <w:spacing w:line="540" w:lineRule="exact"/>
        <w:ind w:firstLine="600"/>
        <w:rPr>
          <w:rFonts w:hint="eastAsia"/>
          <w:sz w:val="30"/>
          <w:szCs w:val="30"/>
          <w:lang w:eastAsia="zh-CN"/>
        </w:rPr>
      </w:pPr>
      <w:r>
        <w:rPr>
          <w:rFonts w:hint="eastAsia"/>
          <w:sz w:val="30"/>
          <w:szCs w:val="30"/>
          <w:lang w:eastAsia="zh-CN"/>
        </w:rPr>
        <w:t>3、2020年重点工作计划：2020年，以“省会消费次中心、区域生产性服务业中心、现代化批发市场中心”为定位，以“大商贸、大物流、互联网＋新兴业态”为方向，发展和丰富商贸业态，拓展商贸领域，扩充商贸规模，提升商贸层级，做活市场，做大规模，做强品牌，做优产业，全面打造与省会次中心相符合的商贸全新格局。商务发展的主要预期目标为：实现社会消费品零售总额累计增速9%；全市新增“四上”企业200家；实现外贸进出口5.8亿美元，增长11%；实现电子商务交易额26亿元。</w:t>
      </w:r>
    </w:p>
    <w:p>
      <w:pPr>
        <w:pStyle w:val="8"/>
        <w:spacing w:line="540" w:lineRule="exact"/>
        <w:ind w:firstLine="600"/>
        <w:rPr>
          <w:rFonts w:hint="eastAsia" w:ascii="楷体_GB2312" w:hAnsi="楷体_GB2312" w:eastAsia="楷体_GB2312" w:cs="宋体"/>
          <w:b/>
          <w:kern w:val="2"/>
          <w:sz w:val="30"/>
          <w:szCs w:val="30"/>
          <w:lang w:val="en-US" w:eastAsia="zh-CN" w:bidi="ar-SA"/>
        </w:rPr>
      </w:pPr>
      <w:commentRangeStart w:id="4"/>
      <w:r>
        <w:rPr>
          <w:rFonts w:hint="eastAsia" w:ascii="楷体_GB2312" w:hAnsi="楷体_GB2312" w:eastAsia="楷体_GB2312" w:cs="宋体"/>
          <w:b/>
          <w:kern w:val="2"/>
          <w:sz w:val="30"/>
          <w:szCs w:val="30"/>
          <w:lang w:val="en-US" w:eastAsia="zh-CN" w:bidi="ar-SA"/>
        </w:rPr>
        <w:t>（二）部门整体支出规模、使用方向和主要内容、涉及范围等。</w:t>
      </w:r>
      <w:commentRangeEnd w:id="4"/>
      <w:r>
        <w:rPr>
          <w:rFonts w:hint="eastAsia" w:ascii="楷体_GB2312" w:hAnsi="楷体_GB2312" w:eastAsia="楷体_GB2312" w:cs="宋体"/>
          <w:b/>
          <w:kern w:val="2"/>
          <w:sz w:val="30"/>
          <w:szCs w:val="30"/>
          <w:lang w:val="en-US" w:eastAsia="zh-CN" w:bidi="ar-SA"/>
        </w:rPr>
        <w:commentReference w:id="4"/>
      </w:r>
    </w:p>
    <w:p>
      <w:pPr>
        <w:pStyle w:val="8"/>
        <w:spacing w:line="540" w:lineRule="exact"/>
        <w:ind w:firstLine="600"/>
        <w:rPr>
          <w:rFonts w:hint="eastAsia"/>
          <w:sz w:val="30"/>
          <w:szCs w:val="30"/>
          <w:lang w:eastAsia="zh-CN"/>
        </w:rPr>
      </w:pPr>
      <w:r>
        <w:rPr>
          <w:rFonts w:hint="eastAsia"/>
          <w:sz w:val="30"/>
          <w:szCs w:val="30"/>
          <w:lang w:eastAsia="zh-CN"/>
        </w:rPr>
        <w:t xml:space="preserve"> </w:t>
      </w:r>
      <w:commentRangeStart w:id="5"/>
      <w:r>
        <w:rPr>
          <w:rFonts w:hint="eastAsia"/>
          <w:sz w:val="30"/>
          <w:szCs w:val="30"/>
          <w:lang w:eastAsia="zh-CN"/>
        </w:rPr>
        <w:t>2020年决算</w:t>
      </w:r>
      <w:r>
        <w:rPr>
          <w:rFonts w:hint="eastAsia" w:ascii="Times New Roman" w:hAnsi="Times New Roman" w:eastAsia="仿宋_GB2312" w:cs="Times New Roman"/>
          <w:sz w:val="32"/>
          <w:szCs w:val="32"/>
          <w:u w:val="none"/>
          <w:lang w:val="en-US" w:eastAsia="zh-CN"/>
        </w:rPr>
        <w:t>财政拨款支出</w:t>
      </w:r>
      <w:r>
        <w:rPr>
          <w:rFonts w:hint="eastAsia"/>
          <w:sz w:val="30"/>
          <w:szCs w:val="30"/>
          <w:lang w:eastAsia="zh-CN"/>
        </w:rPr>
        <w:t>2816.64万元，占总支出的</w:t>
      </w:r>
      <w:commentRangeStart w:id="6"/>
      <w:r>
        <w:rPr>
          <w:rFonts w:hint="eastAsia"/>
          <w:sz w:val="30"/>
          <w:szCs w:val="30"/>
          <w:lang w:eastAsia="zh-CN"/>
        </w:rPr>
        <w:t>83.6</w:t>
      </w:r>
      <w:r>
        <w:rPr>
          <w:rFonts w:hint="eastAsia"/>
          <w:sz w:val="30"/>
          <w:szCs w:val="30"/>
          <w:lang w:val="en-US" w:eastAsia="zh-CN"/>
        </w:rPr>
        <w:t>6</w:t>
      </w:r>
      <w:r>
        <w:rPr>
          <w:rFonts w:hint="eastAsia"/>
          <w:sz w:val="30"/>
          <w:szCs w:val="30"/>
          <w:lang w:eastAsia="zh-CN"/>
        </w:rPr>
        <w:t>%</w:t>
      </w:r>
      <w:commentRangeEnd w:id="6"/>
      <w:r>
        <w:rPr>
          <w:rStyle w:val="6"/>
          <w:rFonts w:ascii="Calibri" w:hAnsi="Calibri" w:eastAsia="宋体" w:cs="Times New Roman"/>
          <w:lang w:eastAsia="zh-CN"/>
        </w:rPr>
        <w:commentReference w:id="6"/>
      </w:r>
      <w:r>
        <w:rPr>
          <w:rFonts w:hint="eastAsia"/>
          <w:sz w:val="30"/>
          <w:szCs w:val="30"/>
          <w:lang w:eastAsia="zh-CN"/>
        </w:rPr>
        <w:t xml:space="preserve"> ，其他支出550.29万元，占总支出的</w:t>
      </w:r>
      <w:commentRangeStart w:id="7"/>
      <w:r>
        <w:rPr>
          <w:rFonts w:hint="eastAsia"/>
          <w:sz w:val="30"/>
          <w:szCs w:val="30"/>
          <w:lang w:eastAsia="zh-CN"/>
        </w:rPr>
        <w:t>16.3</w:t>
      </w:r>
      <w:r>
        <w:rPr>
          <w:rFonts w:hint="eastAsia"/>
          <w:sz w:val="30"/>
          <w:szCs w:val="30"/>
          <w:lang w:val="en-US" w:eastAsia="zh-CN"/>
        </w:rPr>
        <w:t>4</w:t>
      </w:r>
      <w:r>
        <w:rPr>
          <w:rFonts w:hint="eastAsia"/>
          <w:sz w:val="30"/>
          <w:szCs w:val="30"/>
          <w:lang w:eastAsia="zh-CN"/>
        </w:rPr>
        <w:t>%</w:t>
      </w:r>
      <w:commentRangeEnd w:id="7"/>
      <w:r>
        <w:rPr>
          <w:rStyle w:val="6"/>
          <w:rFonts w:ascii="Calibri" w:hAnsi="Calibri" w:eastAsia="宋体" w:cs="Times New Roman"/>
          <w:lang w:eastAsia="zh-CN"/>
        </w:rPr>
        <w:commentReference w:id="7"/>
      </w:r>
      <w:r>
        <w:rPr>
          <w:rFonts w:hint="eastAsia"/>
          <w:sz w:val="30"/>
          <w:szCs w:val="30"/>
          <w:lang w:eastAsia="zh-CN"/>
        </w:rPr>
        <w:t xml:space="preserve"> 。</w:t>
      </w:r>
      <w:commentRangeEnd w:id="5"/>
      <w:r>
        <w:rPr>
          <w:rStyle w:val="6"/>
          <w:rFonts w:ascii="Calibri" w:hAnsi="Calibri" w:eastAsia="宋体" w:cs="Times New Roman"/>
          <w:lang w:eastAsia="zh-CN"/>
        </w:rPr>
        <w:commentReference w:id="5"/>
      </w:r>
      <w:r>
        <w:rPr>
          <w:rFonts w:hint="eastAsia"/>
          <w:sz w:val="30"/>
          <w:szCs w:val="30"/>
          <w:lang w:eastAsia="zh-CN"/>
        </w:rPr>
        <w:t>按资金来源，财政拨款支出2816.64万元，占总支出的</w:t>
      </w:r>
      <w:commentRangeStart w:id="8"/>
      <w:r>
        <w:rPr>
          <w:rFonts w:hint="eastAsia"/>
          <w:sz w:val="30"/>
          <w:szCs w:val="30"/>
          <w:lang w:eastAsia="zh-CN"/>
        </w:rPr>
        <w:t>83.6</w:t>
      </w:r>
      <w:r>
        <w:rPr>
          <w:rFonts w:hint="eastAsia"/>
          <w:sz w:val="30"/>
          <w:szCs w:val="30"/>
          <w:lang w:val="en-US" w:eastAsia="zh-CN"/>
        </w:rPr>
        <w:t>6</w:t>
      </w:r>
      <w:r>
        <w:rPr>
          <w:rFonts w:hint="eastAsia"/>
          <w:sz w:val="30"/>
          <w:szCs w:val="30"/>
          <w:lang w:eastAsia="zh-CN"/>
        </w:rPr>
        <w:t>%</w:t>
      </w:r>
      <w:commentRangeEnd w:id="8"/>
      <w:r>
        <w:rPr>
          <w:rStyle w:val="6"/>
          <w:rFonts w:ascii="Calibri" w:hAnsi="Calibri" w:eastAsia="宋体" w:cs="Times New Roman"/>
          <w:lang w:eastAsia="zh-CN"/>
        </w:rPr>
        <w:commentReference w:id="8"/>
      </w:r>
      <w:r>
        <w:rPr>
          <w:rFonts w:hint="eastAsia"/>
          <w:sz w:val="30"/>
          <w:szCs w:val="30"/>
          <w:lang w:eastAsia="zh-CN"/>
        </w:rPr>
        <w:t>，其他支出550.29万元，占总支出的</w:t>
      </w:r>
      <w:commentRangeStart w:id="9"/>
      <w:r>
        <w:rPr>
          <w:rFonts w:hint="eastAsia"/>
          <w:sz w:val="30"/>
          <w:szCs w:val="30"/>
          <w:lang w:eastAsia="zh-CN"/>
        </w:rPr>
        <w:t>16.3</w:t>
      </w:r>
      <w:r>
        <w:rPr>
          <w:rFonts w:hint="eastAsia"/>
          <w:sz w:val="30"/>
          <w:szCs w:val="30"/>
          <w:lang w:val="en-US" w:eastAsia="zh-CN"/>
        </w:rPr>
        <w:t>4</w:t>
      </w:r>
      <w:r>
        <w:rPr>
          <w:rFonts w:hint="eastAsia"/>
          <w:sz w:val="30"/>
          <w:szCs w:val="30"/>
          <w:lang w:eastAsia="zh-CN"/>
        </w:rPr>
        <w:t>%</w:t>
      </w:r>
      <w:commentRangeEnd w:id="9"/>
      <w:r>
        <w:rPr>
          <w:rStyle w:val="6"/>
          <w:rFonts w:ascii="Calibri" w:hAnsi="Calibri" w:eastAsia="宋体" w:cs="Times New Roman"/>
          <w:lang w:eastAsia="zh-CN"/>
        </w:rPr>
        <w:commentReference w:id="9"/>
      </w:r>
      <w:r>
        <w:rPr>
          <w:rFonts w:hint="eastAsia"/>
          <w:sz w:val="30"/>
          <w:szCs w:val="30"/>
          <w:lang w:eastAsia="zh-CN"/>
        </w:rPr>
        <w:t xml:space="preserve"> ，其中基本支出725.8万元，占总支出的 21.56%，项目支出2641.13万元，占总支出的78.44% 。按支出经济分类，工资福利支出547.21万元，占总支出的16.25% ，商品服务支出383.31万元，占总支出的11.38% ，对个人和家庭的补助支出298.93万元，占总支出的8.88%，对企业补助支出2137.47万元，占总支出的63.47%。。</w:t>
      </w:r>
    </w:p>
    <w:p>
      <w:pPr>
        <w:pStyle w:val="9"/>
        <w:spacing w:line="540" w:lineRule="exact"/>
        <w:ind w:firstLine="600"/>
        <w:rPr>
          <w:rFonts w:hint="eastAsia"/>
          <w:sz w:val="30"/>
          <w:szCs w:val="30"/>
        </w:rPr>
      </w:pPr>
      <w:r>
        <w:rPr>
          <w:rFonts w:hint="eastAsia"/>
          <w:sz w:val="30"/>
          <w:szCs w:val="30"/>
        </w:rPr>
        <w:t>二、部门整体支出管理及使用情况</w:t>
      </w:r>
    </w:p>
    <w:p>
      <w:pPr>
        <w:pStyle w:val="10"/>
        <w:spacing w:line="540" w:lineRule="exact"/>
        <w:ind w:firstLine="600"/>
        <w:rPr>
          <w:rFonts w:hint="eastAsia"/>
          <w:sz w:val="30"/>
          <w:szCs w:val="30"/>
          <w:lang w:eastAsia="zh-CN"/>
        </w:rPr>
      </w:pPr>
      <w:r>
        <w:rPr>
          <w:rFonts w:hint="eastAsia"/>
          <w:sz w:val="30"/>
          <w:szCs w:val="30"/>
          <w:lang w:eastAsia="zh-CN"/>
        </w:rPr>
        <w:t>（一）基本支出</w:t>
      </w:r>
    </w:p>
    <w:p>
      <w:pPr>
        <w:pStyle w:val="8"/>
        <w:spacing w:line="540" w:lineRule="exact"/>
        <w:ind w:firstLine="600"/>
        <w:rPr>
          <w:rFonts w:hint="eastAsia"/>
          <w:sz w:val="30"/>
          <w:szCs w:val="30"/>
          <w:lang w:eastAsia="zh-CN"/>
        </w:rPr>
      </w:pPr>
      <w:r>
        <w:rPr>
          <w:rFonts w:hint="eastAsia"/>
          <w:sz w:val="30"/>
          <w:szCs w:val="30"/>
          <w:lang w:eastAsia="zh-CN"/>
        </w:rPr>
        <w:t>2020年基本支出725.8万元，主要用于工资福利支出517.21万元，对个人和家庭的补助90.14万元，办公费等其他商务和服务支出118.45万元。</w:t>
      </w:r>
    </w:p>
    <w:p>
      <w:pPr>
        <w:pStyle w:val="8"/>
        <w:spacing w:line="540" w:lineRule="exact"/>
        <w:ind w:firstLine="600"/>
        <w:rPr>
          <w:rFonts w:hint="eastAsia"/>
          <w:sz w:val="30"/>
          <w:szCs w:val="30"/>
          <w:lang w:eastAsia="zh-CN"/>
        </w:rPr>
      </w:pPr>
      <w:r>
        <w:rPr>
          <w:rFonts w:hint="eastAsia"/>
          <w:sz w:val="30"/>
          <w:szCs w:val="30"/>
          <w:lang w:eastAsia="zh-CN"/>
        </w:rPr>
        <w:t>2020年“三公”经费预算10万元，实际发生总额5.84万元。其中公务用车购置及运行维护费5.32万元，年初预算6.5万元，公务接待费</w:t>
      </w:r>
      <w:commentRangeStart w:id="10"/>
      <w:r>
        <w:rPr>
          <w:rFonts w:hint="eastAsia"/>
          <w:sz w:val="30"/>
          <w:szCs w:val="30"/>
          <w:lang w:eastAsia="zh-CN"/>
        </w:rPr>
        <w:t>0.</w:t>
      </w:r>
      <w:r>
        <w:rPr>
          <w:rFonts w:hint="eastAsia"/>
          <w:sz w:val="30"/>
          <w:szCs w:val="30"/>
          <w:lang w:val="en-US" w:eastAsia="zh-CN"/>
        </w:rPr>
        <w:t>53</w:t>
      </w:r>
      <w:r>
        <w:rPr>
          <w:rFonts w:hint="eastAsia"/>
          <w:sz w:val="30"/>
          <w:szCs w:val="30"/>
          <w:lang w:eastAsia="zh-CN"/>
        </w:rPr>
        <w:t>万元</w:t>
      </w:r>
      <w:commentRangeEnd w:id="10"/>
      <w:r>
        <w:rPr>
          <w:rStyle w:val="6"/>
          <w:rFonts w:ascii="Calibri" w:hAnsi="Calibri" w:eastAsia="宋体" w:cs="Times New Roman"/>
          <w:lang w:eastAsia="zh-CN"/>
        </w:rPr>
        <w:commentReference w:id="10"/>
      </w:r>
      <w:r>
        <w:rPr>
          <w:rFonts w:hint="eastAsia"/>
          <w:sz w:val="30"/>
          <w:szCs w:val="30"/>
          <w:lang w:eastAsia="zh-CN"/>
        </w:rPr>
        <w:t>，年初预算3.5万元，均未超出预算金额。全年共公务接待10批次105人次，均在标准以内。</w:t>
      </w:r>
    </w:p>
    <w:p>
      <w:pPr>
        <w:pStyle w:val="10"/>
        <w:spacing w:line="540" w:lineRule="exact"/>
        <w:ind w:firstLine="600"/>
        <w:rPr>
          <w:rFonts w:hint="eastAsia"/>
          <w:sz w:val="30"/>
          <w:szCs w:val="30"/>
          <w:lang w:eastAsia="zh-CN"/>
        </w:rPr>
      </w:pPr>
      <w:r>
        <w:rPr>
          <w:rFonts w:hint="eastAsia"/>
          <w:sz w:val="30"/>
          <w:szCs w:val="30"/>
          <w:lang w:eastAsia="zh-CN"/>
        </w:rPr>
        <w:t>（二）项目支出</w:t>
      </w:r>
    </w:p>
    <w:p>
      <w:pPr>
        <w:pStyle w:val="8"/>
        <w:spacing w:line="540" w:lineRule="exact"/>
        <w:ind w:firstLine="600"/>
        <w:rPr>
          <w:rFonts w:hint="eastAsia"/>
          <w:sz w:val="30"/>
          <w:szCs w:val="30"/>
          <w:lang w:eastAsia="zh-CN"/>
        </w:rPr>
      </w:pPr>
      <w:r>
        <w:rPr>
          <w:rFonts w:hint="eastAsia"/>
          <w:sz w:val="30"/>
          <w:szCs w:val="30"/>
          <w:lang w:eastAsia="zh-CN"/>
        </w:rPr>
        <w:t>1.2020年项目支出2641.13万元，其中一般公共预算财政</w:t>
      </w:r>
      <w:r>
        <w:rPr>
          <w:rFonts w:hint="eastAsia"/>
          <w:spacing w:val="-6"/>
          <w:sz w:val="30"/>
          <w:szCs w:val="30"/>
          <w:lang w:eastAsia="zh-CN"/>
        </w:rPr>
        <w:t>拨款收入资金2090.83万元，上级专项及特设专户资金550.3万元。</w:t>
      </w:r>
    </w:p>
    <w:p>
      <w:pPr>
        <w:pStyle w:val="8"/>
        <w:spacing w:line="540" w:lineRule="exact"/>
        <w:ind w:firstLine="600"/>
        <w:rPr>
          <w:rFonts w:hint="eastAsia"/>
          <w:sz w:val="30"/>
          <w:szCs w:val="30"/>
          <w:lang w:eastAsia="zh-CN"/>
        </w:rPr>
      </w:pPr>
      <w:r>
        <w:rPr>
          <w:rFonts w:hint="eastAsia"/>
          <w:sz w:val="30"/>
          <w:szCs w:val="30"/>
          <w:lang w:eastAsia="zh-CN"/>
        </w:rPr>
        <w:t>2.项目资金主要用于对企业的补助及奖励2137.47万元，办公费等商品和服务支出264.86万元，对个人和家庭的补助即对企业内部个人的奖励以及优抚对象的补助等208.79万元。</w:t>
      </w:r>
    </w:p>
    <w:p>
      <w:pPr>
        <w:pStyle w:val="8"/>
        <w:spacing w:line="540" w:lineRule="exact"/>
        <w:ind w:firstLine="600"/>
        <w:rPr>
          <w:rFonts w:hint="eastAsia"/>
          <w:sz w:val="30"/>
          <w:szCs w:val="30"/>
          <w:lang w:eastAsia="zh-CN"/>
        </w:rPr>
      </w:pPr>
      <w:r>
        <w:rPr>
          <w:rFonts w:hint="eastAsia"/>
          <w:sz w:val="30"/>
          <w:szCs w:val="30"/>
          <w:lang w:eastAsia="zh-CN"/>
        </w:rPr>
        <w:t>3.我局各项目资金管理均按照财政的相关政策及专项资金管理办法进行。项目支出均有相关的审批制度，资金拨付严格审批程序，专款专用，使用规范，会计核算结果真实、准确。项目实施预算方案、财务管理制度和会计核算制度健全。此次绩效自评过程中未发现有截留、挤占或挪用项目资金的情况。</w:t>
      </w:r>
    </w:p>
    <w:p>
      <w:pPr>
        <w:pStyle w:val="9"/>
        <w:spacing w:line="540" w:lineRule="exact"/>
        <w:ind w:firstLine="600"/>
        <w:rPr>
          <w:rFonts w:hint="eastAsia"/>
          <w:sz w:val="30"/>
          <w:szCs w:val="30"/>
        </w:rPr>
      </w:pPr>
      <w:r>
        <w:rPr>
          <w:rFonts w:hint="eastAsia"/>
          <w:sz w:val="30"/>
          <w:szCs w:val="30"/>
        </w:rPr>
        <w:t>三、部门项目组织实施情况</w:t>
      </w:r>
    </w:p>
    <w:p>
      <w:pPr>
        <w:pStyle w:val="8"/>
        <w:spacing w:line="540" w:lineRule="exact"/>
        <w:ind w:firstLine="600"/>
        <w:rPr>
          <w:rFonts w:hint="eastAsia"/>
          <w:sz w:val="30"/>
          <w:szCs w:val="30"/>
          <w:lang w:eastAsia="zh-CN"/>
        </w:rPr>
      </w:pPr>
      <w:r>
        <w:rPr>
          <w:rFonts w:hint="eastAsia"/>
          <w:sz w:val="30"/>
          <w:szCs w:val="30"/>
          <w:lang w:eastAsia="zh-CN"/>
        </w:rPr>
        <w:t>（一）所有项目目标设定依据充分、明确、合理，项目建设符合相关规定。年初都制定了相关方案措施，并严格按照方案、措施执行、开展工作。各项目实施过程中，严格按规定及制度进行管理，政府采购及其他相关要求进行，项目招投标公开透明、调整规范、竣工验收由环保联合财政主管科室共同进行。</w:t>
      </w:r>
    </w:p>
    <w:p>
      <w:pPr>
        <w:pStyle w:val="8"/>
        <w:ind w:firstLine="600"/>
        <w:rPr>
          <w:rFonts w:hint="eastAsia"/>
          <w:sz w:val="30"/>
          <w:szCs w:val="30"/>
          <w:lang w:eastAsia="zh-CN"/>
        </w:rPr>
      </w:pPr>
      <w:r>
        <w:rPr>
          <w:rFonts w:hint="eastAsia"/>
          <w:sz w:val="30"/>
          <w:szCs w:val="30"/>
          <w:lang w:eastAsia="zh-CN"/>
        </w:rPr>
        <w:t>（二）项目管理情况分析，项目管理制度建设由中标方实施、我局实施日常检查监督管理，对产生的成果进行初步验收。</w:t>
      </w:r>
    </w:p>
    <w:p>
      <w:pPr>
        <w:pStyle w:val="9"/>
        <w:ind w:firstLine="600"/>
        <w:rPr>
          <w:rFonts w:hint="eastAsia"/>
          <w:sz w:val="30"/>
          <w:szCs w:val="30"/>
        </w:rPr>
      </w:pPr>
      <w:r>
        <w:rPr>
          <w:rFonts w:hint="eastAsia"/>
          <w:sz w:val="30"/>
          <w:szCs w:val="30"/>
        </w:rPr>
        <w:t>四、资产管理情况</w:t>
      </w:r>
    </w:p>
    <w:p>
      <w:pPr>
        <w:pStyle w:val="8"/>
        <w:ind w:firstLine="600"/>
        <w:rPr>
          <w:rFonts w:hint="eastAsia"/>
          <w:sz w:val="30"/>
          <w:szCs w:val="30"/>
          <w:lang w:eastAsia="zh-CN"/>
        </w:rPr>
      </w:pPr>
      <w:r>
        <w:rPr>
          <w:rFonts w:hint="eastAsia"/>
          <w:sz w:val="30"/>
          <w:szCs w:val="30"/>
          <w:lang w:eastAsia="zh-CN"/>
        </w:rPr>
        <w:t>2020年末账面资产总额243.28万元，其中：银行存款（特设专户指标余额）125.43万元，其他应收款108.68万元，固定资产净值9.17万元（原值76.64万元）；负债总额154.21万元，主要为其他应付款；净资产89.07万元。资产构成情况：流动资产234.11万元、固定资产原值76.64万元，净值9.17万元，其中车辆1台，原值21.47万元、电脑38台原值15.83万元。2020年进行报废处理了一批原值为15.18万元的固定资产，主要是已达到使用期限且无使用价值的电脑、显示屏等。</w:t>
      </w:r>
    </w:p>
    <w:p>
      <w:pPr>
        <w:pStyle w:val="8"/>
        <w:ind w:firstLine="600"/>
        <w:rPr>
          <w:rFonts w:hint="eastAsia"/>
          <w:sz w:val="30"/>
          <w:szCs w:val="30"/>
          <w:lang w:eastAsia="zh-CN"/>
        </w:rPr>
      </w:pPr>
      <w:r>
        <w:rPr>
          <w:rFonts w:hint="eastAsia"/>
          <w:sz w:val="30"/>
          <w:szCs w:val="30"/>
          <w:lang w:eastAsia="zh-CN"/>
        </w:rPr>
        <w:t>我单位通过长沙市行政事业资产管理信息系统登记的数据与单位内部资产管理登记明细表进行核对后，对机关每一间办公室的实存资产进行了全面的摸底核对，并对每间办公室的资产进行单独造表登记，请各科室的相关责任人签字后张贴在各办公室的相应位置。</w:t>
      </w:r>
    </w:p>
    <w:p>
      <w:pPr>
        <w:pStyle w:val="8"/>
        <w:ind w:firstLine="600"/>
        <w:rPr>
          <w:rFonts w:hint="eastAsia"/>
          <w:sz w:val="30"/>
          <w:szCs w:val="30"/>
          <w:lang w:eastAsia="zh-CN"/>
        </w:rPr>
      </w:pPr>
      <w:r>
        <w:rPr>
          <w:rFonts w:hint="eastAsia"/>
          <w:sz w:val="30"/>
          <w:szCs w:val="30"/>
          <w:lang w:eastAsia="zh-CN"/>
        </w:rPr>
        <w:t>我单位有完善的资产管理制度，局属的国有资产由局办公室和财务科共同负责进行资产购置、验收入库、维护保管，财务科负责账卡管理、清查登记、处置申报、统计报告及日常监督检查工作。接受主管部门和同级财政部门(国资)的监督指导并向其报告工作。</w:t>
      </w:r>
    </w:p>
    <w:p>
      <w:pPr>
        <w:pStyle w:val="9"/>
        <w:ind w:firstLine="600"/>
        <w:rPr>
          <w:rFonts w:hint="eastAsia"/>
          <w:sz w:val="30"/>
          <w:szCs w:val="30"/>
        </w:rPr>
      </w:pPr>
      <w:r>
        <w:rPr>
          <w:rFonts w:hint="eastAsia"/>
          <w:sz w:val="30"/>
          <w:szCs w:val="30"/>
        </w:rPr>
        <w:t>五、部门整体支出绩效情况</w:t>
      </w:r>
    </w:p>
    <w:p>
      <w:pPr>
        <w:pStyle w:val="8"/>
        <w:ind w:firstLine="600"/>
        <w:rPr>
          <w:rFonts w:hint="eastAsia"/>
          <w:sz w:val="30"/>
          <w:szCs w:val="30"/>
          <w:lang w:eastAsia="zh-CN"/>
        </w:rPr>
      </w:pPr>
      <w:r>
        <w:rPr>
          <w:rFonts w:hint="eastAsia"/>
          <w:sz w:val="30"/>
          <w:szCs w:val="30"/>
          <w:lang w:eastAsia="zh-CN"/>
        </w:rPr>
        <w:t>2020年，我局积极履职，强化管理，较好的完成了年度工作目标。通过加强预算收支管理，不断建立健全内部管理制度，梳理内部管理流程，部门整体支出管理水平得到提升。部门整体支出绩效情况如下：</w:t>
      </w:r>
    </w:p>
    <w:p>
      <w:pPr>
        <w:pStyle w:val="8"/>
        <w:ind w:firstLine="600"/>
        <w:rPr>
          <w:rFonts w:hint="eastAsia"/>
          <w:sz w:val="30"/>
          <w:szCs w:val="30"/>
          <w:lang w:eastAsia="zh-CN"/>
        </w:rPr>
      </w:pPr>
      <w:r>
        <w:rPr>
          <w:rFonts w:hint="eastAsia"/>
          <w:sz w:val="30"/>
          <w:szCs w:val="30"/>
          <w:lang w:eastAsia="zh-CN"/>
        </w:rPr>
        <w:t>1.预算执行比较到位。全年完成预算执行率达85%以上。</w:t>
      </w:r>
    </w:p>
    <w:p>
      <w:pPr>
        <w:pStyle w:val="8"/>
        <w:ind w:firstLine="600"/>
        <w:rPr>
          <w:rFonts w:hint="eastAsia"/>
          <w:sz w:val="30"/>
          <w:szCs w:val="30"/>
          <w:lang w:eastAsia="zh-CN"/>
        </w:rPr>
      </w:pPr>
      <w:r>
        <w:rPr>
          <w:rFonts w:hint="eastAsia"/>
          <w:sz w:val="30"/>
          <w:szCs w:val="30"/>
          <w:lang w:eastAsia="zh-CN"/>
        </w:rPr>
        <w:t>2.预算管理较理想，制度执行总体较为有效，但仍需进一步强化。</w:t>
      </w:r>
    </w:p>
    <w:p>
      <w:pPr>
        <w:pStyle w:val="8"/>
        <w:ind w:firstLine="600"/>
        <w:rPr>
          <w:rFonts w:hint="eastAsia"/>
          <w:sz w:val="30"/>
          <w:szCs w:val="30"/>
          <w:lang w:eastAsia="zh-CN"/>
        </w:rPr>
      </w:pPr>
      <w:r>
        <w:rPr>
          <w:rFonts w:hint="eastAsia"/>
          <w:sz w:val="30"/>
          <w:szCs w:val="30"/>
          <w:lang w:eastAsia="zh-CN"/>
        </w:rPr>
        <w:t>（1）严格控制公用经费，厉行节约，“三公”经费总体控制较好，较本年预算和以往年度支出数有较大幅度下降。</w:t>
      </w:r>
      <w:r>
        <w:rPr>
          <w:rStyle w:val="6"/>
          <w:rFonts w:ascii="Calibri" w:hAnsi="Calibri" w:eastAsia="宋体" w:cs="Times New Roman"/>
          <w:lang w:eastAsia="zh-CN"/>
        </w:rPr>
        <w:commentReference w:id="11"/>
      </w:r>
    </w:p>
    <w:p>
      <w:pPr>
        <w:pStyle w:val="8"/>
        <w:ind w:firstLine="600"/>
        <w:rPr>
          <w:rFonts w:hint="eastAsia"/>
          <w:sz w:val="30"/>
          <w:szCs w:val="30"/>
          <w:lang w:eastAsia="zh-CN"/>
        </w:rPr>
      </w:pPr>
      <w:r>
        <w:rPr>
          <w:rFonts w:hint="eastAsia"/>
          <w:sz w:val="30"/>
          <w:szCs w:val="30"/>
          <w:lang w:eastAsia="zh-CN"/>
        </w:rPr>
        <w:t>（2）政府采购执行严格按照《采购法》和采监办政策法规规范执行。</w:t>
      </w:r>
    </w:p>
    <w:p>
      <w:pPr>
        <w:pStyle w:val="8"/>
        <w:ind w:firstLine="600"/>
        <w:rPr>
          <w:rFonts w:hint="eastAsia"/>
          <w:sz w:val="30"/>
          <w:szCs w:val="30"/>
          <w:lang w:eastAsia="zh-CN"/>
        </w:rPr>
      </w:pPr>
      <w:r>
        <w:rPr>
          <w:rFonts w:hint="eastAsia"/>
          <w:sz w:val="30"/>
          <w:szCs w:val="30"/>
          <w:lang w:eastAsia="zh-CN"/>
        </w:rPr>
        <w:t>（3）管理制度健全：有内部财务管理制度、内部控制制度、会计核算制度等管理制度；有本部门厉行节约制度；相关管理制度合法、合规、完整；相关管理制度有执行，执行力度还待加强，有考核制度。</w:t>
      </w:r>
    </w:p>
    <w:p>
      <w:pPr>
        <w:pStyle w:val="8"/>
        <w:ind w:firstLine="600"/>
        <w:rPr>
          <w:rFonts w:hint="eastAsia"/>
          <w:sz w:val="30"/>
          <w:szCs w:val="30"/>
          <w:lang w:eastAsia="zh-CN"/>
        </w:rPr>
      </w:pPr>
      <w:r>
        <w:rPr>
          <w:rFonts w:hint="eastAsia"/>
          <w:sz w:val="30"/>
          <w:szCs w:val="30"/>
          <w:lang w:eastAsia="zh-CN"/>
        </w:rPr>
        <w:t>（4）资金使用合规：本年度支出的所有资金支出符合国家财经法规和财务管理制度规定以及有关专项资金管理办法的规定；资金拨付有完整的审批程序和手续；资金使用无截留、挤占、挪用、虚列支出等情况。</w:t>
      </w:r>
    </w:p>
    <w:p>
      <w:pPr>
        <w:pStyle w:val="8"/>
        <w:ind w:firstLine="600"/>
        <w:rPr>
          <w:rFonts w:hint="eastAsia"/>
          <w:sz w:val="30"/>
          <w:szCs w:val="30"/>
          <w:lang w:eastAsia="zh-CN"/>
        </w:rPr>
      </w:pPr>
      <w:r>
        <w:rPr>
          <w:rFonts w:hint="eastAsia"/>
          <w:sz w:val="30"/>
          <w:szCs w:val="30"/>
          <w:lang w:eastAsia="zh-CN"/>
        </w:rPr>
        <w:t>（5）预决算信息公开：一是按规定在县政府门户网站公开信息；二是基础数据信息和会计信息资料真实、完整、准确。</w:t>
      </w:r>
    </w:p>
    <w:p>
      <w:pPr>
        <w:pStyle w:val="8"/>
        <w:ind w:firstLine="600"/>
        <w:rPr>
          <w:rFonts w:hint="eastAsia"/>
          <w:sz w:val="30"/>
          <w:szCs w:val="30"/>
          <w:lang w:eastAsia="zh-CN"/>
        </w:rPr>
      </w:pPr>
      <w:r>
        <w:rPr>
          <w:rFonts w:hint="eastAsia"/>
          <w:sz w:val="30"/>
          <w:szCs w:val="30"/>
          <w:lang w:eastAsia="zh-CN"/>
        </w:rPr>
        <w:t>3.履职效益</w:t>
      </w:r>
    </w:p>
    <w:p>
      <w:pPr>
        <w:pStyle w:val="8"/>
        <w:ind w:firstLine="600"/>
        <w:rPr>
          <w:rFonts w:hint="eastAsia"/>
          <w:sz w:val="30"/>
          <w:szCs w:val="30"/>
          <w:lang w:eastAsia="zh-CN"/>
        </w:rPr>
      </w:pPr>
      <w:r>
        <w:rPr>
          <w:rFonts w:hint="eastAsia"/>
          <w:sz w:val="30"/>
          <w:szCs w:val="30"/>
          <w:lang w:eastAsia="zh-CN"/>
        </w:rPr>
        <w:t>经济性分析：我单位严格按照预算额度控制行政成本、节约各项资金开支</w:t>
      </w:r>
      <w:r>
        <w:rPr>
          <w:rStyle w:val="6"/>
          <w:rFonts w:ascii="Calibri" w:hAnsi="Calibri" w:eastAsia="宋体" w:cs="Times New Roman"/>
          <w:lang w:eastAsia="zh-CN"/>
        </w:rPr>
        <w:commentReference w:id="12"/>
      </w:r>
      <w:r>
        <w:rPr>
          <w:rFonts w:hint="eastAsia"/>
          <w:sz w:val="30"/>
          <w:szCs w:val="30"/>
          <w:lang w:eastAsia="zh-CN"/>
        </w:rPr>
        <w:t>。 </w:t>
      </w:r>
    </w:p>
    <w:p>
      <w:pPr>
        <w:pStyle w:val="8"/>
        <w:ind w:firstLine="600"/>
        <w:rPr>
          <w:rFonts w:hint="eastAsia"/>
          <w:sz w:val="30"/>
          <w:szCs w:val="30"/>
          <w:lang w:eastAsia="zh-CN"/>
        </w:rPr>
      </w:pPr>
      <w:r>
        <w:rPr>
          <w:rFonts w:hint="eastAsia"/>
          <w:sz w:val="30"/>
          <w:szCs w:val="30"/>
          <w:lang w:eastAsia="zh-CN"/>
        </w:rPr>
        <w:t>效率性分析：对各项工作、专项的完成进度及质量等情况及时进行跟踪与反馈。 </w:t>
      </w:r>
    </w:p>
    <w:p>
      <w:pPr>
        <w:pStyle w:val="8"/>
        <w:ind w:firstLine="600"/>
        <w:rPr>
          <w:rFonts w:hint="eastAsia"/>
          <w:sz w:val="30"/>
          <w:szCs w:val="30"/>
          <w:lang w:eastAsia="zh-CN"/>
        </w:rPr>
      </w:pPr>
      <w:r>
        <w:rPr>
          <w:rFonts w:hint="eastAsia"/>
          <w:sz w:val="30"/>
          <w:szCs w:val="30"/>
          <w:lang w:eastAsia="zh-CN"/>
        </w:rPr>
        <w:t>有效性分析：认真完成对各项资金支出、使用效果等指标的分析，并成立相关督查小组，加强对各项资金事前、事中、事后监督。 </w:t>
      </w:r>
    </w:p>
    <w:p>
      <w:pPr>
        <w:pStyle w:val="8"/>
        <w:ind w:firstLine="600"/>
        <w:rPr>
          <w:rFonts w:hint="eastAsia"/>
          <w:sz w:val="30"/>
          <w:szCs w:val="30"/>
          <w:lang w:eastAsia="zh-CN"/>
        </w:rPr>
      </w:pPr>
      <w:r>
        <w:rPr>
          <w:rFonts w:hint="eastAsia"/>
          <w:sz w:val="30"/>
          <w:szCs w:val="30"/>
          <w:lang w:eastAsia="zh-CN"/>
        </w:rPr>
        <w:t>可持续性分析：对各项资金支出完成后，后续政策、资金、人员机构安排和管理措施等影响项目持续发展的因素进行分析。针对不足的地方，努力改进和完善相关管理办法和制度，做到各项资金支出的可持续发展，提高部门整体绩效。</w:t>
      </w:r>
    </w:p>
    <w:p>
      <w:pPr>
        <w:pStyle w:val="8"/>
        <w:ind w:firstLine="600"/>
        <w:rPr>
          <w:rFonts w:hint="eastAsia"/>
          <w:sz w:val="30"/>
          <w:szCs w:val="30"/>
          <w:lang w:eastAsia="zh-CN"/>
        </w:rPr>
      </w:pPr>
      <w:r>
        <w:rPr>
          <w:rFonts w:hint="eastAsia"/>
          <w:sz w:val="30"/>
          <w:szCs w:val="30"/>
          <w:lang w:eastAsia="zh-CN"/>
        </w:rPr>
        <w:t>综上所述，项目总体评分为91.5分，评定级别为优。</w:t>
      </w:r>
    </w:p>
    <w:p>
      <w:pPr>
        <w:pStyle w:val="9"/>
        <w:ind w:firstLine="600"/>
        <w:rPr>
          <w:rFonts w:hint="eastAsia"/>
          <w:sz w:val="30"/>
          <w:szCs w:val="30"/>
        </w:rPr>
      </w:pPr>
      <w:r>
        <w:rPr>
          <w:rFonts w:hint="eastAsia"/>
          <w:sz w:val="30"/>
          <w:szCs w:val="30"/>
        </w:rPr>
        <w:t>六、存在的主要问题</w:t>
      </w:r>
    </w:p>
    <w:p>
      <w:pPr>
        <w:pStyle w:val="8"/>
        <w:ind w:firstLine="600"/>
        <w:rPr>
          <w:rFonts w:hint="eastAsia"/>
          <w:sz w:val="30"/>
          <w:szCs w:val="30"/>
          <w:lang w:eastAsia="zh-CN"/>
        </w:rPr>
      </w:pPr>
      <w:r>
        <w:rPr>
          <w:rFonts w:hint="eastAsia"/>
          <w:b/>
          <w:bCs/>
          <w:sz w:val="30"/>
          <w:szCs w:val="30"/>
          <w:lang w:eastAsia="zh-CN"/>
        </w:rPr>
        <w:t>一是</w:t>
      </w:r>
      <w:r>
        <w:rPr>
          <w:rFonts w:hint="eastAsia"/>
          <w:sz w:val="30"/>
          <w:szCs w:val="30"/>
          <w:lang w:eastAsia="zh-CN"/>
        </w:rPr>
        <w:t>预算完成率有待提高。</w:t>
      </w:r>
      <w:r>
        <w:rPr>
          <w:rFonts w:hint="eastAsia"/>
          <w:b/>
          <w:bCs/>
          <w:sz w:val="30"/>
          <w:szCs w:val="30"/>
          <w:lang w:eastAsia="zh-CN"/>
        </w:rPr>
        <w:t>二是</w:t>
      </w:r>
      <w:r>
        <w:rPr>
          <w:rFonts w:hint="eastAsia"/>
          <w:sz w:val="30"/>
          <w:szCs w:val="30"/>
          <w:lang w:eastAsia="zh-CN"/>
        </w:rPr>
        <w:t>预算控制率有待调整。由于年初预算时一些无法预计的工作开展和上级交办任务的突发性，预算运行中，环境变化带来的不确定因素增多，给今年预算执行带来了一定的困难。</w:t>
      </w:r>
    </w:p>
    <w:p>
      <w:pPr>
        <w:pStyle w:val="9"/>
        <w:ind w:firstLine="600"/>
        <w:rPr>
          <w:rFonts w:hint="eastAsia"/>
          <w:sz w:val="30"/>
          <w:szCs w:val="30"/>
        </w:rPr>
      </w:pPr>
      <w:r>
        <w:rPr>
          <w:rFonts w:hint="eastAsia"/>
          <w:sz w:val="30"/>
          <w:szCs w:val="30"/>
        </w:rPr>
        <w:t>七、改进措施和有关建议</w:t>
      </w:r>
    </w:p>
    <w:p>
      <w:pPr>
        <w:pStyle w:val="8"/>
        <w:ind w:firstLine="600"/>
        <w:rPr>
          <w:rFonts w:hint="eastAsia"/>
          <w:sz w:val="30"/>
          <w:szCs w:val="30"/>
          <w:lang w:eastAsia="zh-CN"/>
        </w:rPr>
      </w:pPr>
      <w:r>
        <w:rPr>
          <w:rFonts w:hint="eastAsia"/>
          <w:sz w:val="30"/>
          <w:szCs w:val="30"/>
          <w:lang w:eastAsia="zh-CN"/>
        </w:rPr>
        <w:t>改进措施：加强整体支出绩效评价队伍建设。组织相关人员认真学习《预算法》等相关法规、制度，加强业务知识培训，增强财务人员的预算意识，进一步提高资金使用效率。</w:t>
      </w:r>
    </w:p>
    <w:p>
      <w:pPr>
        <w:pStyle w:val="8"/>
        <w:ind w:firstLine="600"/>
        <w:rPr>
          <w:rFonts w:hint="eastAsia"/>
          <w:sz w:val="30"/>
          <w:szCs w:val="30"/>
          <w:lang w:eastAsia="zh-CN"/>
        </w:rPr>
      </w:pPr>
      <w:r>
        <w:rPr>
          <w:rFonts w:hint="eastAsia"/>
          <w:sz w:val="30"/>
          <w:szCs w:val="30"/>
          <w:lang w:eastAsia="zh-CN"/>
        </w:rPr>
        <w:t>建议：1.绩效管理不只是财政支出方面，而是要从年初预算制定工作抓起，要科学合理地编制部门预算，预算要结合本部门的事业发展计划、职责和任务测算，要确保部门预算编制真实、准确、完整，切合单位实际。</w:t>
      </w:r>
    </w:p>
    <w:p>
      <w:pPr>
        <w:pStyle w:val="8"/>
        <w:ind w:firstLine="600"/>
        <w:rPr>
          <w:rFonts w:hint="eastAsia"/>
          <w:sz w:val="30"/>
          <w:szCs w:val="30"/>
          <w:lang w:eastAsia="zh-CN"/>
        </w:rPr>
      </w:pPr>
      <w:r>
        <w:rPr>
          <w:rFonts w:hint="eastAsia"/>
          <w:sz w:val="30"/>
          <w:szCs w:val="30"/>
          <w:lang w:eastAsia="zh-CN"/>
        </w:rPr>
        <w:t>2.要抓好绩效评价管理部门的队伍建设和业务指导，培育部门的绩效评价管理队伍，加强业务培训和指导。</w:t>
      </w:r>
    </w:p>
    <w:p>
      <w:pPr>
        <w:pStyle w:val="8"/>
        <w:ind w:firstLine="600"/>
        <w:rPr>
          <w:rFonts w:hint="eastAsia"/>
          <w:sz w:val="30"/>
          <w:szCs w:val="30"/>
          <w:lang w:eastAsia="zh-CN"/>
        </w:rPr>
      </w:pPr>
      <w:r>
        <w:rPr>
          <w:rFonts w:hint="eastAsia"/>
          <w:sz w:val="30"/>
          <w:szCs w:val="30"/>
          <w:lang w:eastAsia="zh-CN"/>
        </w:rPr>
        <w:t>3.应根据实际需求，针对每一个项目制定工作目标，科学编制和细化预算，做到预算有目标，执行有细则，控制专项支出，分析资金使用情况，提高资金的使用效益。</w:t>
      </w:r>
    </w:p>
    <w:p>
      <w:pPr>
        <w:pStyle w:val="8"/>
        <w:ind w:firstLine="600"/>
        <w:rPr>
          <w:rFonts w:hint="eastAsia"/>
          <w:sz w:val="30"/>
          <w:szCs w:val="30"/>
          <w:lang w:eastAsia="zh-CN"/>
        </w:rPr>
      </w:pPr>
    </w:p>
    <w:p>
      <w:pPr>
        <w:pStyle w:val="8"/>
        <w:ind w:firstLine="600"/>
        <w:rPr>
          <w:rFonts w:hint="eastAsia"/>
          <w:sz w:val="30"/>
          <w:szCs w:val="30"/>
          <w:lang w:eastAsia="zh-CN"/>
        </w:rPr>
      </w:pPr>
    </w:p>
    <w:p>
      <w:pPr>
        <w:pStyle w:val="8"/>
        <w:ind w:firstLine="600"/>
        <w:rPr>
          <w:rFonts w:hint="eastAsia"/>
          <w:sz w:val="30"/>
          <w:szCs w:val="30"/>
        </w:rPr>
      </w:pPr>
      <w:r>
        <w:rPr>
          <w:rFonts w:hint="eastAsia"/>
          <w:sz w:val="30"/>
          <w:szCs w:val="30"/>
          <w:lang w:eastAsia="zh-CN"/>
        </w:rPr>
        <w:t xml:space="preserve">                                </w:t>
      </w:r>
      <w:r>
        <w:rPr>
          <w:rFonts w:hint="eastAsia"/>
          <w:sz w:val="30"/>
          <w:szCs w:val="30"/>
        </w:rPr>
        <w:t>宁乡市商务局</w:t>
      </w:r>
    </w:p>
    <w:p>
      <w:pPr>
        <w:pStyle w:val="8"/>
        <w:ind w:firstLine="600"/>
        <w:rPr>
          <w:sz w:val="30"/>
          <w:szCs w:val="30"/>
        </w:rPr>
      </w:pPr>
      <w:r>
        <w:rPr>
          <w:rFonts w:hint="eastAsia"/>
          <w:sz w:val="30"/>
          <w:szCs w:val="30"/>
        </w:rPr>
        <w:t xml:space="preserve">                       </w:t>
      </w:r>
      <w:r>
        <w:rPr>
          <w:rFonts w:hint="eastAsia"/>
          <w:sz w:val="30"/>
          <w:szCs w:val="30"/>
          <w:lang w:eastAsia="zh-CN"/>
        </w:rPr>
        <w:t xml:space="preserve">     </w:t>
      </w:r>
      <w:r>
        <w:rPr>
          <w:rFonts w:hint="eastAsia"/>
          <w:sz w:val="30"/>
          <w:szCs w:val="30"/>
        </w:rPr>
        <w:t xml:space="preserve">  202</w:t>
      </w:r>
      <w:r>
        <w:rPr>
          <w:rFonts w:hint="eastAsia"/>
          <w:sz w:val="30"/>
          <w:szCs w:val="30"/>
          <w:lang w:eastAsia="zh-CN"/>
        </w:rPr>
        <w:t>1</w:t>
      </w:r>
      <w:r>
        <w:rPr>
          <w:rFonts w:hint="eastAsia"/>
          <w:sz w:val="30"/>
          <w:szCs w:val="30"/>
        </w:rPr>
        <w:t>年</w:t>
      </w:r>
      <w:r>
        <w:rPr>
          <w:rFonts w:hint="eastAsia"/>
          <w:sz w:val="30"/>
          <w:szCs w:val="30"/>
          <w:lang w:eastAsia="zh-CN"/>
        </w:rPr>
        <w:t>3</w:t>
      </w:r>
      <w:r>
        <w:rPr>
          <w:rFonts w:hint="eastAsia"/>
          <w:sz w:val="30"/>
          <w:szCs w:val="30"/>
        </w:rPr>
        <w:t>月17日</w:t>
      </w:r>
    </w:p>
    <w:p/>
    <w:sectPr>
      <w:footerReference r:id="rId5" w:type="default"/>
      <w:pgSz w:w="11906" w:h="16838"/>
      <w:pgMar w:top="2098" w:right="1474" w:bottom="1984" w:left="1587" w:header="851" w:footer="1474" w:gutter="0"/>
      <w:pgNumType w:fmt="numberInDash"/>
      <w:cols w:space="720"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朱 韵桦" w:date="2022-05-27T09:15:00Z" w:initials="朱">
    <w:p w14:paraId="25C519F0">
      <w:pPr>
        <w:pStyle w:val="2"/>
      </w:pPr>
      <w:r>
        <w:rPr>
          <w:rFonts w:hint="eastAsia"/>
        </w:rPr>
        <w:t>建议删除空格</w:t>
      </w:r>
    </w:p>
  </w:comment>
  <w:comment w:id="1" w:author="朱 韵桦" w:date="2022-05-27T09:23:00Z" w:initials="朱">
    <w:p w14:paraId="0C7B6E6B">
      <w:pPr>
        <w:pStyle w:val="2"/>
        <w:rPr>
          <w:rFonts w:hint="eastAsia"/>
        </w:rPr>
      </w:pPr>
      <w:r>
        <w:rPr>
          <w:rFonts w:hint="eastAsia"/>
        </w:rPr>
        <w:t>如果有二级预算单位则还需要单独公开二级预算单位预算决算信息；如果不是或未单独决算，则适当修改描述</w:t>
      </w:r>
    </w:p>
  </w:comment>
  <w:comment w:id="2" w:author="朱 韵桦" w:date="2022-05-27T09:16:00Z" w:initials="朱">
    <w:p w14:paraId="338554F3">
      <w:pPr>
        <w:pStyle w:val="2"/>
      </w:pPr>
      <w:r>
        <w:rPr>
          <w:rFonts w:hint="eastAsia"/>
        </w:rPr>
        <w:t>建议删除空格</w:t>
      </w:r>
    </w:p>
  </w:comment>
  <w:comment w:id="3" w:author="朱 韵桦" w:date="2022-05-27T09:16:00Z" w:initials="朱">
    <w:p w14:paraId="71185011">
      <w:pPr>
        <w:pStyle w:val="2"/>
      </w:pPr>
      <w:r>
        <w:rPr>
          <w:rFonts w:hint="eastAsia"/>
        </w:rPr>
        <w:t>建议删除空格</w:t>
      </w:r>
    </w:p>
  </w:comment>
  <w:comment w:id="4" w:author="朱 韵桦" w:date="2022-05-27T09:32:00Z" w:initials="朱">
    <w:p w14:paraId="5DE00BAD">
      <w:pPr>
        <w:pStyle w:val="2"/>
        <w:rPr>
          <w:rFonts w:hint="eastAsia"/>
        </w:rPr>
      </w:pPr>
      <w:r>
        <w:rPr>
          <w:rFonts w:hint="eastAsia"/>
        </w:rPr>
        <w:t>与上文同级标题格式不一致</w:t>
      </w:r>
    </w:p>
  </w:comment>
  <w:comment w:id="6" w:author="朱 韵桦" w:date="2022-05-27T11:25:00Z" w:initials="朱">
    <w:p w14:paraId="0EC470A0">
      <w:pPr>
        <w:pStyle w:val="2"/>
      </w:pPr>
      <w:r>
        <w:rPr>
          <w:rFonts w:hint="eastAsia"/>
        </w:rPr>
        <w:t>应改为8</w:t>
      </w:r>
      <w:r>
        <w:t>3.66%</w:t>
      </w:r>
    </w:p>
  </w:comment>
  <w:comment w:id="7" w:author="朱 韵桦" w:date="2022-05-27T11:25:00Z" w:initials="朱">
    <w:p w14:paraId="4DE019E1">
      <w:pPr>
        <w:pStyle w:val="2"/>
      </w:pPr>
      <w:r>
        <w:rPr>
          <w:rFonts w:hint="eastAsia"/>
        </w:rPr>
        <w:t>应改为1</w:t>
      </w:r>
      <w:r>
        <w:t>6.34%</w:t>
      </w:r>
    </w:p>
  </w:comment>
  <w:comment w:id="5" w:author="朱 韵桦" w:date="2022-05-27T11:33:00Z" w:initials="朱">
    <w:p w14:paraId="54626011">
      <w:pPr>
        <w:pStyle w:val="2"/>
        <w:rPr>
          <w:rFonts w:hint="eastAsia"/>
        </w:rPr>
      </w:pPr>
      <w:r>
        <w:rPr>
          <w:rFonts w:hint="eastAsia"/>
        </w:rPr>
        <w:t>此段为部门整体支出，建议修改关于“收入”的描述</w:t>
      </w:r>
    </w:p>
  </w:comment>
  <w:comment w:id="8" w:author="朱 韵桦" w:date="2022-05-27T11:25:00Z" w:initials="朱">
    <w:p w14:paraId="54241673">
      <w:pPr>
        <w:pStyle w:val="2"/>
      </w:pPr>
      <w:r>
        <w:rPr>
          <w:rFonts w:hint="eastAsia"/>
        </w:rPr>
        <w:t>应改为8</w:t>
      </w:r>
      <w:r>
        <w:t>3.66%</w:t>
      </w:r>
    </w:p>
  </w:comment>
  <w:comment w:id="9" w:author="朱 韵桦" w:date="2022-05-27T11:26:00Z" w:initials="朱">
    <w:p w14:paraId="57382C92">
      <w:pPr>
        <w:pStyle w:val="2"/>
      </w:pPr>
      <w:r>
        <w:rPr>
          <w:rFonts w:hint="eastAsia"/>
        </w:rPr>
        <w:t>应改为</w:t>
      </w:r>
      <w:r>
        <w:t>16.34%</w:t>
      </w:r>
    </w:p>
  </w:comment>
  <w:comment w:id="10" w:author="朱 韵桦" w:date="2022-05-27T11:37:00Z" w:initials="朱">
    <w:p w14:paraId="6CCA4220">
      <w:pPr>
        <w:pStyle w:val="2"/>
      </w:pPr>
      <w:r>
        <w:rPr>
          <w:rFonts w:hint="eastAsia"/>
        </w:rPr>
        <w:t>与所附表格“一般公共预算财政拨款“三公”经费支出决算表（财决公开０７表）”数据不一致</w:t>
      </w:r>
    </w:p>
  </w:comment>
  <w:comment w:id="11" w:author="朱 韵桦" w:date="2022-05-27T11:48:00Z" w:initials="朱">
    <w:p w14:paraId="15F666D9">
      <w:pPr>
        <w:pStyle w:val="2"/>
      </w:pPr>
      <w:r>
        <w:rPr>
          <w:rFonts w:hint="eastAsia"/>
        </w:rPr>
        <w:t>建议改为中文句号</w:t>
      </w:r>
    </w:p>
  </w:comment>
  <w:comment w:id="12" w:author="朱 韵桦" w:date="2022-05-27T11:50:00Z" w:initials="朱">
    <w:p w14:paraId="3A924E6D">
      <w:pPr>
        <w:pStyle w:val="2"/>
      </w:pPr>
      <w:r>
        <w:rPr>
          <w:rFonts w:hint="eastAsia"/>
        </w:rPr>
        <w:t>建议修改为中文句号</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25C519F0" w15:done="0"/>
  <w15:commentEx w15:paraId="0C7B6E6B" w15:done="0"/>
  <w15:commentEx w15:paraId="338554F3" w15:done="0"/>
  <w15:commentEx w15:paraId="71185011" w15:done="0"/>
  <w15:commentEx w15:paraId="5DE00BAD" w15:done="0"/>
  <w15:commentEx w15:paraId="0EC470A0" w15:done="0"/>
  <w15:commentEx w15:paraId="4DE019E1" w15:done="0"/>
  <w15:commentEx w15:paraId="54626011" w15:done="0"/>
  <w15:commentEx w15:paraId="54241673" w15:done="0"/>
  <w15:commentEx w15:paraId="57382C92" w15:done="0"/>
  <w15:commentEx w15:paraId="6CCA4220" w15:done="0"/>
  <w15:commentEx w15:paraId="15F666D9" w15:done="0"/>
  <w15:commentEx w15:paraId="3A924E6D"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_GBK">
    <w:altName w:val="Times New Roman"/>
    <w:panose1 w:val="00000000000000000000"/>
    <w:charset w:val="00"/>
    <w:family w:val="auto"/>
    <w:pitch w:val="default"/>
    <w:sig w:usb0="00000000" w:usb1="00000000" w:usb2="00000000" w:usb3="00000000" w:csb0="00000001" w:csb1="00000000"/>
  </w:font>
  <w:font w:name="仿宋_GB2312">
    <w:panose1 w:val="02010609030101010101"/>
    <w:charset w:val="86"/>
    <w:family w:val="auto"/>
    <w:pitch w:val="default"/>
    <w:sig w:usb0="00000001" w:usb1="080E0000" w:usb2="00000000" w:usb3="00000000" w:csb0="00040000" w:csb1="00000000"/>
  </w:font>
  <w:font w:name="????_GBK">
    <w:altName w:val="Times New Roman"/>
    <w:panose1 w:val="00000000000000000000"/>
    <w:charset w:val="00"/>
    <w:family w:val="auto"/>
    <w:pitch w:val="default"/>
    <w:sig w:usb0="00000000" w:usb1="00000000" w:usb2="00000000" w:usb3="00000000" w:csb0="00000001"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v:textbox>
            </v:shape>
          </w:pict>
        </mc:Fallback>
      </mc:AlternateConten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朱 韵桦">
    <w15:presenceInfo w15:providerId="None" w15:userId="朱 韵桦"/>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ZjZGFlOTY0ZTUyNmI3YTkyYjk1Yjg5ZmI2ZjU1NjUifQ=="/>
  </w:docVars>
  <w:rsids>
    <w:rsidRoot w:val="48E87B4C"/>
    <w:rsid w:val="2F1E3732"/>
    <w:rsid w:val="48E87B4C"/>
    <w:rsid w:val="49C95F6F"/>
    <w:rsid w:val="4AD07A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character" w:styleId="6">
    <w:name w:val="annotation reference"/>
    <w:qFormat/>
    <w:uiPriority w:val="0"/>
    <w:rPr>
      <w:sz w:val="21"/>
      <w:szCs w:val="21"/>
    </w:rPr>
  </w:style>
  <w:style w:type="paragraph" w:customStyle="1" w:styleId="7">
    <w:name w:val="大标题"/>
    <w:basedOn w:val="1"/>
    <w:qFormat/>
    <w:uiPriority w:val="0"/>
    <w:pPr>
      <w:overflowPunct w:val="0"/>
      <w:spacing w:line="600" w:lineRule="exact"/>
      <w:jc w:val="center"/>
    </w:pPr>
    <w:rPr>
      <w:rFonts w:ascii="方正小标宋_GBK" w:hAnsi="方正小标宋_GBK" w:eastAsia="方正小标宋_GBK" w:cs="?????_GBK"/>
      <w:sz w:val="44"/>
      <w:szCs w:val="44"/>
    </w:rPr>
  </w:style>
  <w:style w:type="paragraph" w:customStyle="1" w:styleId="8">
    <w:name w:val="正文  OK"/>
    <w:basedOn w:val="1"/>
    <w:qFormat/>
    <w:uiPriority w:val="0"/>
    <w:pPr>
      <w:kinsoku/>
      <w:overflowPunct w:val="0"/>
      <w:autoSpaceDE/>
      <w:autoSpaceDN/>
      <w:spacing w:line="560" w:lineRule="exact"/>
      <w:ind w:firstLine="440" w:firstLineChars="200"/>
      <w:jc w:val="both"/>
    </w:pPr>
    <w:rPr>
      <w:rFonts w:ascii="仿宋_GB2312" w:hAnsi="仿宋_GB2312" w:eastAsia="仿宋_GB2312" w:cs="宋体"/>
      <w:sz w:val="32"/>
      <w:szCs w:val="22"/>
      <w:lang w:eastAsia="en-US"/>
    </w:rPr>
  </w:style>
  <w:style w:type="paragraph" w:customStyle="1" w:styleId="9">
    <w:name w:val="一级标题"/>
    <w:basedOn w:val="1"/>
    <w:qFormat/>
    <w:uiPriority w:val="0"/>
    <w:pPr>
      <w:overflowPunct w:val="0"/>
      <w:autoSpaceDE w:val="0"/>
      <w:spacing w:line="560" w:lineRule="exact"/>
      <w:ind w:firstLine="420" w:firstLineChars="200"/>
    </w:pPr>
    <w:rPr>
      <w:rFonts w:ascii="黑体" w:hAnsi="黑体" w:eastAsia="黑体" w:cs="????_GBK"/>
      <w:sz w:val="32"/>
      <w:szCs w:val="32"/>
    </w:rPr>
  </w:style>
  <w:style w:type="paragraph" w:customStyle="1" w:styleId="10">
    <w:name w:val="二级标题"/>
    <w:basedOn w:val="1"/>
    <w:qFormat/>
    <w:uiPriority w:val="0"/>
    <w:pPr>
      <w:overflowPunct w:val="0"/>
      <w:autoSpaceDE/>
      <w:autoSpaceDN/>
      <w:spacing w:line="560" w:lineRule="exact"/>
      <w:ind w:firstLine="420" w:firstLineChars="200"/>
      <w:jc w:val="both"/>
    </w:pPr>
    <w:rPr>
      <w:rFonts w:ascii="楷体_GB2312" w:hAnsi="楷体_GB2312" w:eastAsia="楷体_GB2312" w:cs="宋体"/>
      <w:b/>
      <w:sz w:val="32"/>
      <w:szCs w:val="22"/>
      <w:lang w:eastAsia="en-US"/>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3549</Words>
  <Characters>3840</Characters>
  <Lines>0</Lines>
  <Paragraphs>0</Paragraphs>
  <TotalTime>3</TotalTime>
  <ScaleCrop>false</ScaleCrop>
  <LinksUpToDate>false</LinksUpToDate>
  <CharactersWithSpaces>3914</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2022-06-13T06:36:00Z</dcterms:created>
  <dc:creator>严彩宇</dc:creator>
  <cp:lastModifiedBy>Administrator</cp:lastModifiedBy>
  <dcterms:modified xsi:type="dcterms:W3CDTF">2022-06-14T01:23:48Z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3B80126FBB8A473482963DCF877A96A2</vt:lpwstr>
  </property>
</Properties>
</file>