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jc w:val="center"/>
        <w:rPr>
          <w:b/>
          <w:sz w:val="32"/>
          <w:szCs w:val="32"/>
        </w:rPr>
      </w:pPr>
      <w:r>
        <w:rPr>
          <w:rFonts w:hint="eastAsia"/>
          <w:b/>
          <w:sz w:val="32"/>
          <w:szCs w:val="32"/>
        </w:rPr>
        <w:t>宁乡市司法局</w:t>
      </w:r>
      <w:r>
        <w:rPr>
          <w:b/>
          <w:sz w:val="32"/>
          <w:szCs w:val="32"/>
        </w:rPr>
        <w:t>2021</w:t>
      </w:r>
      <w:r>
        <w:rPr>
          <w:rFonts w:hint="eastAsia"/>
          <w:b/>
          <w:sz w:val="32"/>
          <w:szCs w:val="32"/>
        </w:rPr>
        <w:t>年部门预算说明</w:t>
      </w:r>
    </w:p>
    <w:p>
      <w:pPr>
        <w:jc w:val="center"/>
        <w:rPr>
          <w:b/>
        </w:rPr>
      </w:pPr>
    </w:p>
    <w:p>
      <w:pPr>
        <w:pStyle w:val="5"/>
        <w:shd w:val="clear" w:color="auto" w:fill="FFFFFF"/>
        <w:spacing w:before="0" w:beforeAutospacing="0" w:after="0" w:afterAutospacing="0" w:line="400" w:lineRule="atLeast"/>
        <w:ind w:firstLine="480"/>
        <w:jc w:val="center"/>
        <w:rPr>
          <w:rFonts w:ascii="微软雅黑" w:hAnsi="微软雅黑"/>
          <w:color w:val="333333"/>
          <w:sz w:val="21"/>
          <w:szCs w:val="21"/>
        </w:rPr>
      </w:pPr>
      <w:r>
        <w:rPr>
          <w:rStyle w:val="8"/>
          <w:rFonts w:hint="eastAsia" w:ascii="仿宋_GB2312" w:hAnsi="微软雅黑" w:eastAsia="仿宋_GB2312" w:cs="宋体"/>
          <w:color w:val="333333"/>
          <w:sz w:val="21"/>
          <w:szCs w:val="21"/>
        </w:rPr>
        <w:t>目　　录</w:t>
      </w:r>
    </w:p>
    <w:p>
      <w:pPr>
        <w:pStyle w:val="5"/>
        <w:shd w:val="clear" w:color="auto" w:fill="FFFFFF"/>
        <w:spacing w:before="0" w:beforeAutospacing="0" w:after="0" w:afterAutospacing="0" w:line="400" w:lineRule="atLeast"/>
        <w:ind w:firstLine="480"/>
        <w:jc w:val="center"/>
        <w:rPr>
          <w:rFonts w:ascii="微软雅黑" w:hAnsi="微软雅黑"/>
          <w:color w:val="333333"/>
          <w:sz w:val="16"/>
          <w:szCs w:val="16"/>
        </w:rPr>
      </w:pPr>
      <w:r>
        <w:rPr>
          <w:rFonts w:ascii="Times New Roman" w:hAnsi="Times New Roman" w:eastAsia="仿宋_GB2312" w:cs="Times New Roman"/>
          <w:sz w:val="19"/>
          <w:szCs w:val="19"/>
        </w:rPr>
        <w:t> </w:t>
      </w:r>
    </w:p>
    <w:p>
      <w:pPr>
        <w:pStyle w:val="5"/>
        <w:shd w:val="clear" w:color="auto" w:fill="FFFFFF"/>
        <w:spacing w:before="0" w:beforeAutospacing="0" w:after="0" w:afterAutospacing="0" w:line="400" w:lineRule="atLeast"/>
        <w:ind w:firstLine="370"/>
        <w:rPr>
          <w:color w:val="333333"/>
          <w:sz w:val="21"/>
          <w:szCs w:val="21"/>
        </w:rPr>
      </w:pPr>
      <w:r>
        <w:rPr>
          <w:rStyle w:val="8"/>
          <w:rFonts w:hint="eastAsia" w:cs="宋体"/>
          <w:color w:val="333333"/>
          <w:sz w:val="21"/>
          <w:szCs w:val="21"/>
        </w:rPr>
        <w:t>第一部分　宁乡市司法局</w:t>
      </w:r>
      <w:r>
        <w:rPr>
          <w:rStyle w:val="8"/>
          <w:rFonts w:cs="宋体"/>
          <w:color w:val="333333"/>
          <w:sz w:val="21"/>
          <w:szCs w:val="21"/>
        </w:rPr>
        <w:t>2021</w:t>
      </w:r>
      <w:r>
        <w:rPr>
          <w:rStyle w:val="8"/>
          <w:rFonts w:hint="eastAsia" w:cs="宋体"/>
          <w:color w:val="333333"/>
          <w:sz w:val="21"/>
          <w:szCs w:val="21"/>
        </w:rPr>
        <w:t>年部门预算说明</w:t>
      </w:r>
    </w:p>
    <w:p>
      <w:pPr>
        <w:pStyle w:val="5"/>
        <w:shd w:val="clear" w:color="auto" w:fill="FFFFFF"/>
        <w:spacing w:before="0" w:beforeAutospacing="0" w:after="0" w:afterAutospacing="0" w:line="400" w:lineRule="atLeast"/>
        <w:ind w:firstLine="370"/>
        <w:rPr>
          <w:rFonts w:hint="eastAsia"/>
          <w:color w:val="333333"/>
          <w:sz w:val="21"/>
          <w:szCs w:val="21"/>
          <w:lang w:eastAsia="zh-CN"/>
        </w:rPr>
      </w:pPr>
      <w:r>
        <w:rPr>
          <w:rFonts w:hint="eastAsia"/>
          <w:color w:val="333333"/>
          <w:sz w:val="21"/>
          <w:szCs w:val="21"/>
        </w:rPr>
        <w:t>一、</w:t>
      </w:r>
      <w:r>
        <w:rPr>
          <w:rFonts w:hint="eastAsia"/>
          <w:color w:val="333333"/>
          <w:sz w:val="21"/>
          <w:szCs w:val="21"/>
          <w:lang w:eastAsia="zh-CN"/>
        </w:rPr>
        <w:t>部门基本概况</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二、机构设置及部门预算单位构成</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eastAsia="zh-CN"/>
        </w:rPr>
        <w:t>三</w:t>
      </w:r>
      <w:r>
        <w:rPr>
          <w:rFonts w:hint="eastAsia"/>
          <w:color w:val="333333"/>
          <w:sz w:val="21"/>
          <w:szCs w:val="21"/>
        </w:rPr>
        <w:t>、部门收支总体情况</w:t>
      </w:r>
    </w:p>
    <w:p>
      <w:pPr>
        <w:pStyle w:val="5"/>
        <w:shd w:val="clear" w:color="auto" w:fill="FFFFFF"/>
        <w:spacing w:before="0" w:beforeAutospacing="0" w:after="0" w:afterAutospacing="0" w:line="400" w:lineRule="atLeast"/>
        <w:ind w:firstLine="370"/>
        <w:rPr>
          <w:rFonts w:hint="eastAsia"/>
          <w:color w:val="333333"/>
          <w:sz w:val="21"/>
          <w:szCs w:val="21"/>
          <w:lang w:eastAsia="zh-CN"/>
        </w:rPr>
      </w:pPr>
      <w:r>
        <w:rPr>
          <w:rFonts w:hint="eastAsia"/>
          <w:color w:val="333333"/>
          <w:sz w:val="21"/>
          <w:szCs w:val="21"/>
          <w:lang w:eastAsia="zh-CN"/>
        </w:rPr>
        <w:t>四、</w:t>
      </w:r>
      <w:r>
        <w:rPr>
          <w:rFonts w:hint="eastAsia"/>
          <w:color w:val="333333"/>
          <w:sz w:val="21"/>
          <w:szCs w:val="21"/>
          <w:lang w:val="en-US" w:eastAsia="zh-CN"/>
        </w:rPr>
        <w:t>一般公共预算拨款支出预算</w:t>
      </w:r>
    </w:p>
    <w:p>
      <w:pPr>
        <w:pStyle w:val="5"/>
        <w:shd w:val="clear" w:color="auto" w:fill="FFFFFF"/>
        <w:spacing w:before="0" w:beforeAutospacing="0" w:after="0" w:afterAutospacing="0" w:line="400" w:lineRule="atLeast"/>
        <w:ind w:firstLine="370"/>
        <w:rPr>
          <w:rFonts w:hint="eastAsia"/>
          <w:color w:val="333333"/>
          <w:sz w:val="21"/>
          <w:szCs w:val="21"/>
          <w:lang w:eastAsia="zh-CN"/>
        </w:rPr>
      </w:pPr>
      <w:r>
        <w:rPr>
          <w:rFonts w:hint="eastAsia"/>
          <w:color w:val="333333"/>
          <w:sz w:val="21"/>
          <w:szCs w:val="21"/>
          <w:lang w:eastAsia="zh-CN"/>
        </w:rPr>
        <w:t>五、</w:t>
      </w:r>
      <w:r>
        <w:rPr>
          <w:rFonts w:hint="eastAsia"/>
          <w:color w:val="333333"/>
          <w:sz w:val="21"/>
          <w:szCs w:val="21"/>
        </w:rPr>
        <w:t>其他重要事项的情况说明</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eastAsia="zh-CN"/>
        </w:rPr>
        <w:t>六</w:t>
      </w:r>
      <w:r>
        <w:rPr>
          <w:rFonts w:hint="eastAsia"/>
          <w:color w:val="333333"/>
          <w:sz w:val="21"/>
          <w:szCs w:val="21"/>
        </w:rPr>
        <w:t>、名词解释</w:t>
      </w:r>
    </w:p>
    <w:p>
      <w:pPr>
        <w:pStyle w:val="5"/>
        <w:shd w:val="clear" w:color="auto" w:fill="FFFFFF"/>
        <w:spacing w:before="0" w:beforeAutospacing="0" w:after="0" w:afterAutospacing="0" w:line="400" w:lineRule="atLeast"/>
        <w:ind w:firstLine="370"/>
        <w:rPr>
          <w:rStyle w:val="8"/>
          <w:color w:val="333333"/>
          <w:sz w:val="21"/>
          <w:szCs w:val="21"/>
        </w:rPr>
      </w:pPr>
      <w:r>
        <w:rPr>
          <w:rStyle w:val="8"/>
          <w:rFonts w:hint="eastAsia" w:cs="宋体"/>
          <w:color w:val="333333"/>
          <w:sz w:val="21"/>
          <w:szCs w:val="21"/>
        </w:rPr>
        <w:t>第二部分</w:t>
      </w:r>
      <w:r>
        <w:rPr>
          <w:rStyle w:val="8"/>
          <w:rFonts w:cs="宋体"/>
          <w:color w:val="333333"/>
          <w:sz w:val="21"/>
          <w:szCs w:val="21"/>
        </w:rPr>
        <w:t xml:space="preserve">  </w:t>
      </w:r>
      <w:r>
        <w:rPr>
          <w:rStyle w:val="8"/>
          <w:rFonts w:hint="eastAsia" w:cs="宋体"/>
          <w:color w:val="333333"/>
          <w:sz w:val="21"/>
          <w:szCs w:val="21"/>
        </w:rPr>
        <w:t>部门预算公开表格</w:t>
      </w:r>
      <w:r>
        <w:rPr>
          <w:rStyle w:val="8"/>
          <w:rFonts w:hAnsi="Times New Roman"/>
          <w:color w:val="333333"/>
          <w:sz w:val="21"/>
          <w:szCs w:val="21"/>
        </w:rPr>
        <w:t> </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一、</w:t>
      </w:r>
      <w:r>
        <w:rPr>
          <w:color w:val="333333"/>
          <w:sz w:val="21"/>
          <w:szCs w:val="21"/>
        </w:rPr>
        <w:t>2021</w:t>
      </w:r>
      <w:r>
        <w:rPr>
          <w:rFonts w:hint="eastAsia"/>
          <w:color w:val="333333"/>
          <w:sz w:val="21"/>
          <w:szCs w:val="21"/>
        </w:rPr>
        <w:t>年部门收支总表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二、</w:t>
      </w:r>
      <w:r>
        <w:rPr>
          <w:color w:val="333333"/>
          <w:sz w:val="21"/>
          <w:szCs w:val="21"/>
        </w:rPr>
        <w:t>2021</w:t>
      </w:r>
      <w:r>
        <w:rPr>
          <w:rFonts w:hint="eastAsia"/>
          <w:color w:val="333333"/>
          <w:sz w:val="21"/>
          <w:szCs w:val="21"/>
        </w:rPr>
        <w:t>年部门收入总表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三、</w:t>
      </w:r>
      <w:r>
        <w:rPr>
          <w:color w:val="333333"/>
          <w:sz w:val="21"/>
          <w:szCs w:val="21"/>
        </w:rPr>
        <w:t>2021</w:t>
      </w:r>
      <w:r>
        <w:rPr>
          <w:rFonts w:hint="eastAsia"/>
          <w:color w:val="333333"/>
          <w:sz w:val="21"/>
          <w:szCs w:val="21"/>
        </w:rPr>
        <w:t>年部门支出总表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四、</w:t>
      </w:r>
      <w:r>
        <w:rPr>
          <w:color w:val="333333"/>
          <w:sz w:val="21"/>
          <w:szCs w:val="21"/>
        </w:rPr>
        <w:t>2021</w:t>
      </w:r>
      <w:r>
        <w:rPr>
          <w:rFonts w:hint="eastAsia"/>
          <w:color w:val="333333"/>
          <w:sz w:val="21"/>
          <w:szCs w:val="21"/>
        </w:rPr>
        <w:t>年财政拨款收支总表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五、</w:t>
      </w:r>
      <w:r>
        <w:rPr>
          <w:color w:val="333333"/>
          <w:sz w:val="21"/>
          <w:szCs w:val="21"/>
        </w:rPr>
        <w:t>2021</w:t>
      </w:r>
      <w:r>
        <w:rPr>
          <w:rFonts w:hint="eastAsia"/>
          <w:color w:val="333333"/>
          <w:sz w:val="21"/>
          <w:szCs w:val="21"/>
        </w:rPr>
        <w:t>年一般公共预算支出表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六、</w:t>
      </w:r>
      <w:r>
        <w:rPr>
          <w:color w:val="333333"/>
          <w:sz w:val="21"/>
          <w:szCs w:val="21"/>
        </w:rPr>
        <w:t>2021</w:t>
      </w:r>
      <w:r>
        <w:rPr>
          <w:rFonts w:hint="eastAsia"/>
          <w:color w:val="333333"/>
          <w:sz w:val="21"/>
          <w:szCs w:val="21"/>
        </w:rPr>
        <w:t>年一般公共预算基本支出表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七、</w:t>
      </w:r>
      <w:r>
        <w:rPr>
          <w:color w:val="333333"/>
          <w:sz w:val="21"/>
          <w:szCs w:val="21"/>
        </w:rPr>
        <w:t>2021</w:t>
      </w:r>
      <w:r>
        <w:rPr>
          <w:rFonts w:hint="eastAsia"/>
          <w:color w:val="333333"/>
          <w:sz w:val="21"/>
          <w:szCs w:val="21"/>
        </w:rPr>
        <w:t>年一般公共预算“三公”经费支出表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八、</w:t>
      </w:r>
      <w:r>
        <w:rPr>
          <w:color w:val="333333"/>
          <w:sz w:val="21"/>
          <w:szCs w:val="21"/>
        </w:rPr>
        <w:t>2021</w:t>
      </w:r>
      <w:r>
        <w:rPr>
          <w:rFonts w:hint="eastAsia"/>
          <w:color w:val="333333"/>
          <w:sz w:val="21"/>
          <w:szCs w:val="21"/>
        </w:rPr>
        <w:t>年政府性基金预算支出表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九、</w:t>
      </w:r>
      <w:r>
        <w:rPr>
          <w:color w:val="333333"/>
          <w:sz w:val="21"/>
          <w:szCs w:val="21"/>
        </w:rPr>
        <w:t>2021</w:t>
      </w:r>
      <w:r>
        <w:rPr>
          <w:rFonts w:hint="eastAsia"/>
          <w:color w:val="333333"/>
          <w:sz w:val="21"/>
          <w:szCs w:val="21"/>
        </w:rPr>
        <w:t>年整体支出绩效目标表</w:t>
      </w:r>
    </w:p>
    <w:p>
      <w:pPr>
        <w:pStyle w:val="5"/>
        <w:shd w:val="clear" w:color="auto" w:fill="FFFFFF"/>
        <w:spacing w:before="0" w:beforeAutospacing="0" w:after="0" w:afterAutospacing="0" w:line="400" w:lineRule="atLeast"/>
        <w:ind w:firstLine="370"/>
        <w:rPr>
          <w:color w:val="333333"/>
          <w:sz w:val="21"/>
          <w:szCs w:val="21"/>
        </w:rPr>
      </w:pPr>
      <w:r>
        <w:rPr>
          <w:rFonts w:hint="eastAsia"/>
          <w:color w:val="333333"/>
          <w:sz w:val="21"/>
          <w:szCs w:val="21"/>
        </w:rPr>
        <w:t>十、</w:t>
      </w:r>
      <w:r>
        <w:rPr>
          <w:color w:val="333333"/>
          <w:sz w:val="21"/>
          <w:szCs w:val="21"/>
        </w:rPr>
        <w:t>2021</w:t>
      </w:r>
      <w:r>
        <w:rPr>
          <w:rFonts w:hint="eastAsia"/>
          <w:color w:val="333333"/>
          <w:sz w:val="21"/>
          <w:szCs w:val="21"/>
        </w:rPr>
        <w:t>年项目绩效目标表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十一、</w:t>
      </w:r>
      <w:r>
        <w:rPr>
          <w:color w:val="333333"/>
          <w:sz w:val="21"/>
          <w:szCs w:val="21"/>
        </w:rPr>
        <w:t>2021</w:t>
      </w:r>
      <w:r>
        <w:rPr>
          <w:rFonts w:hint="eastAsia"/>
          <w:color w:val="333333"/>
          <w:sz w:val="21"/>
          <w:szCs w:val="21"/>
        </w:rPr>
        <w:t>年项目支出绩效目标表</w:t>
      </w:r>
    </w:p>
    <w:p>
      <w:pPr>
        <w:pStyle w:val="5"/>
        <w:shd w:val="clear" w:color="auto" w:fill="FFFFFF"/>
        <w:spacing w:before="0" w:beforeAutospacing="0" w:after="0" w:afterAutospacing="0" w:line="400" w:lineRule="atLeast"/>
        <w:ind w:firstLine="370"/>
        <w:rPr>
          <w:rFonts w:hint="eastAsia"/>
          <w:color w:val="333333"/>
          <w:sz w:val="21"/>
          <w:szCs w:val="21"/>
        </w:rPr>
      </w:pPr>
    </w:p>
    <w:p>
      <w:pPr>
        <w:pStyle w:val="5"/>
        <w:numPr>
          <w:ilvl w:val="0"/>
          <w:numId w:val="1"/>
        </w:numPr>
        <w:shd w:val="clear" w:color="auto" w:fill="FFFFFF"/>
        <w:spacing w:before="0" w:beforeAutospacing="0" w:after="0" w:afterAutospacing="0" w:line="400" w:lineRule="atLeast"/>
        <w:ind w:firstLine="370"/>
        <w:jc w:val="center"/>
        <w:rPr>
          <w:rStyle w:val="8"/>
          <w:rFonts w:hint="eastAsia" w:cs="宋体"/>
          <w:color w:val="333333"/>
          <w:sz w:val="21"/>
          <w:szCs w:val="21"/>
        </w:rPr>
      </w:pPr>
      <w:r>
        <w:rPr>
          <w:rStyle w:val="8"/>
          <w:rFonts w:hint="eastAsia" w:cs="宋体"/>
          <w:color w:val="333333"/>
          <w:sz w:val="21"/>
          <w:szCs w:val="21"/>
        </w:rPr>
        <w:t>宁乡市司法局</w:t>
      </w:r>
      <w:r>
        <w:rPr>
          <w:rStyle w:val="8"/>
          <w:rFonts w:cs="宋体"/>
          <w:color w:val="333333"/>
          <w:sz w:val="21"/>
          <w:szCs w:val="21"/>
        </w:rPr>
        <w:t>2021</w:t>
      </w:r>
      <w:r>
        <w:rPr>
          <w:rStyle w:val="8"/>
          <w:rFonts w:hint="eastAsia" w:cs="宋体"/>
          <w:color w:val="333333"/>
          <w:sz w:val="21"/>
          <w:szCs w:val="21"/>
        </w:rPr>
        <w:t>年部门预算说明</w:t>
      </w:r>
    </w:p>
    <w:p>
      <w:pPr>
        <w:pStyle w:val="5"/>
        <w:numPr>
          <w:ilvl w:val="0"/>
          <w:numId w:val="0"/>
        </w:numPr>
        <w:shd w:val="clear" w:color="auto" w:fill="FFFFFF"/>
        <w:spacing w:before="0" w:beforeAutospacing="0" w:after="0" w:afterAutospacing="0" w:line="400" w:lineRule="atLeast"/>
        <w:rPr>
          <w:rStyle w:val="8"/>
          <w:rFonts w:hint="eastAsia" w:cs="宋体"/>
          <w:color w:val="333333"/>
          <w:sz w:val="21"/>
          <w:szCs w:val="21"/>
        </w:rPr>
      </w:pP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一、部门基本概况</w:t>
      </w:r>
    </w:p>
    <w:p>
      <w:pPr>
        <w:pStyle w:val="5"/>
        <w:shd w:val="clear" w:color="auto" w:fill="FFFFFF"/>
        <w:spacing w:before="0" w:beforeAutospacing="0" w:after="0" w:afterAutospacing="0" w:line="400" w:lineRule="atLeast"/>
        <w:ind w:firstLine="370"/>
        <w:rPr>
          <w:rFonts w:hint="eastAsia"/>
          <w:color w:val="333333"/>
          <w:sz w:val="21"/>
          <w:szCs w:val="21"/>
          <w:lang w:eastAsia="zh-CN"/>
        </w:rPr>
      </w:pPr>
      <w:r>
        <w:rPr>
          <w:rFonts w:hint="eastAsia"/>
          <w:color w:val="333333"/>
          <w:sz w:val="21"/>
          <w:szCs w:val="21"/>
          <w:lang w:val="en-US" w:eastAsia="zh-CN"/>
        </w:rPr>
        <w:t>我单位的</w:t>
      </w:r>
      <w:r>
        <w:rPr>
          <w:rFonts w:hint="eastAsia"/>
          <w:color w:val="333333"/>
          <w:sz w:val="21"/>
          <w:szCs w:val="21"/>
        </w:rPr>
        <w:t>职能职责</w:t>
      </w:r>
      <w:r>
        <w:rPr>
          <w:rFonts w:hint="eastAsia"/>
          <w:color w:val="333333"/>
          <w:sz w:val="21"/>
          <w:szCs w:val="21"/>
          <w:lang w:eastAsia="zh-CN"/>
        </w:rPr>
        <w:t>：</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1.</w:t>
      </w:r>
      <w:r>
        <w:rPr>
          <w:rFonts w:hint="eastAsia"/>
          <w:color w:val="333333"/>
          <w:sz w:val="21"/>
          <w:szCs w:val="21"/>
        </w:rPr>
        <w:t>承担全面依法治市重大问题的政策研究，负责处理市委依法治市办日常事务;</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2.</w:t>
      </w:r>
      <w:r>
        <w:rPr>
          <w:rFonts w:hint="eastAsia"/>
          <w:color w:val="333333"/>
          <w:sz w:val="21"/>
          <w:szCs w:val="21"/>
        </w:rPr>
        <w:t>指导和监督全市规范性文件管理有关工作，承担市人民政府规范性文件送审稿的合法性审查工作；</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3.</w:t>
      </w:r>
      <w:r>
        <w:rPr>
          <w:rFonts w:hint="eastAsia"/>
          <w:color w:val="333333"/>
          <w:sz w:val="21"/>
          <w:szCs w:val="21"/>
        </w:rPr>
        <w:t>负责综合协调行政执法，承担推进行政执法体制改革有关工作;</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4.</w:t>
      </w:r>
      <w:r>
        <w:rPr>
          <w:rFonts w:hint="eastAsia"/>
          <w:color w:val="333333"/>
          <w:sz w:val="21"/>
          <w:szCs w:val="21"/>
        </w:rPr>
        <w:t>负责行政执法人员培训、资格管理和行政执法证件管理，处理涉及到市人民政府的其他法律事务;</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5.</w:t>
      </w:r>
      <w:r>
        <w:rPr>
          <w:rFonts w:hint="eastAsia"/>
          <w:color w:val="333333"/>
          <w:sz w:val="21"/>
          <w:szCs w:val="21"/>
        </w:rPr>
        <w:t>承办市人民政府管辖的行政复议案件，代理市人民政府行政应诉事项;</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6.</w:t>
      </w:r>
      <w:r>
        <w:rPr>
          <w:rFonts w:hint="eastAsia"/>
          <w:color w:val="333333"/>
          <w:sz w:val="21"/>
          <w:szCs w:val="21"/>
        </w:rPr>
        <w:t>制定法治宣传教育和普法规划并组织实施;</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7.</w:t>
      </w:r>
      <w:r>
        <w:rPr>
          <w:rFonts w:hint="eastAsia"/>
          <w:color w:val="333333"/>
          <w:sz w:val="21"/>
          <w:szCs w:val="21"/>
        </w:rPr>
        <w:t>负责人民陪审员选任管理工作;</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8.</w:t>
      </w:r>
      <w:r>
        <w:rPr>
          <w:rFonts w:hint="eastAsia"/>
          <w:color w:val="333333"/>
          <w:sz w:val="21"/>
          <w:szCs w:val="21"/>
        </w:rPr>
        <w:t>指导和协调司法所开展各类民间纠纷调解;指导行业性、专业性人民调解委员会化解矛盾纠纷;</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9.</w:t>
      </w:r>
      <w:r>
        <w:rPr>
          <w:rFonts w:hint="eastAsia"/>
          <w:color w:val="333333"/>
          <w:sz w:val="21"/>
          <w:szCs w:val="21"/>
        </w:rPr>
        <w:t>负责拟订公共法律服务体系建设规划并指导实施，统筹布局城乡、区域公共法律服务资源;</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10.</w:t>
      </w:r>
      <w:r>
        <w:rPr>
          <w:rFonts w:hint="eastAsia"/>
          <w:color w:val="333333"/>
          <w:sz w:val="21"/>
          <w:szCs w:val="21"/>
        </w:rPr>
        <w:t>监督管理全市法律援助工作;</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11.</w:t>
      </w:r>
      <w:r>
        <w:rPr>
          <w:rFonts w:hint="eastAsia"/>
          <w:color w:val="333333"/>
          <w:sz w:val="21"/>
          <w:szCs w:val="21"/>
        </w:rPr>
        <w:t>监督管理全市律师事务所、基层法律服务所、公证处和司法鉴定机构及其执业人员，依法查处违法违规行为;</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（12）负责社区矫正和刑满释放人员的安置帮教工作。</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eastAsia="zh-CN"/>
        </w:rPr>
        <w:t>二、</w:t>
      </w:r>
      <w:r>
        <w:rPr>
          <w:rFonts w:hint="eastAsia"/>
          <w:color w:val="333333"/>
          <w:sz w:val="21"/>
          <w:szCs w:val="21"/>
        </w:rPr>
        <w:t>机构设置及部门预算单位构成</w:t>
      </w:r>
    </w:p>
    <w:p>
      <w:pPr>
        <w:pStyle w:val="5"/>
        <w:shd w:val="clear" w:color="auto" w:fill="FFFFFF"/>
        <w:spacing w:before="0" w:beforeAutospacing="0" w:after="0" w:afterAutospacing="0" w:line="400" w:lineRule="atLeast"/>
        <w:ind w:firstLine="370"/>
        <w:rPr>
          <w:rFonts w:hint="eastAsia"/>
          <w:color w:val="333333"/>
          <w:sz w:val="21"/>
          <w:szCs w:val="21"/>
          <w:lang w:val="en-US" w:eastAsia="zh-CN"/>
        </w:rPr>
      </w:pPr>
      <w:r>
        <w:rPr>
          <w:rFonts w:hint="eastAsia"/>
          <w:color w:val="333333"/>
          <w:sz w:val="21"/>
          <w:szCs w:val="21"/>
          <w:lang w:val="en-US" w:eastAsia="zh-CN"/>
        </w:rPr>
        <w:t>1.机构设置</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我单位为全额预算管理单位，现有编制47个，全额编制登记人数46人，退休人员24人、机关、各调解室聘请人员33人。单位设有12个职能科室：依法治市秘书科、办公室、政工人事科、社区矫正管理科、行政复议应诉科、行政执法监督科、文件合同管理科、普法与依法治理科、基层工作指导科、法律服务管理科、法律援助管理科、宁乡市依法治市事务中心；专业调解室15个，具体是：宁乡市联合人民调解委员会、市医患纠纷调解委员会、市婚姻纠纷调解委员会、市道路交通事故纠纷调解委员会、市道路交通事故调解委员会驻花明楼、横市、煤炭坝、经开区和喇叭口中队调解室、市联合人民调解委员会驻人民法院调解室、大河西市场调解室、沙河市场调解室、行政调解室、市物业和市场纠纷调解委员会、市自然资源纠纷调解委员会。</w:t>
      </w:r>
    </w:p>
    <w:p>
      <w:pPr>
        <w:pStyle w:val="5"/>
        <w:shd w:val="clear" w:color="auto" w:fill="FFFFFF"/>
        <w:spacing w:before="0" w:beforeAutospacing="0" w:after="0" w:afterAutospacing="0" w:line="400" w:lineRule="atLeast"/>
        <w:ind w:firstLine="370"/>
        <w:rPr>
          <w:rFonts w:hint="eastAsia"/>
          <w:color w:val="333333"/>
          <w:sz w:val="21"/>
          <w:szCs w:val="21"/>
          <w:lang w:val="en-US" w:eastAsia="zh-CN"/>
        </w:rPr>
      </w:pPr>
      <w:r>
        <w:rPr>
          <w:rFonts w:hint="eastAsia"/>
          <w:color w:val="333333"/>
          <w:sz w:val="21"/>
          <w:szCs w:val="21"/>
          <w:lang w:val="en-US" w:eastAsia="zh-CN"/>
        </w:rPr>
        <w:t>2.部门预算单位构成</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纳入2021 年部门预算编制范围的预算单位包括：我单位纳入2021年部门预算编制只有本级，没有其他二级预算单位。</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eastAsia="zh-CN"/>
        </w:rPr>
        <w:t>三、</w:t>
      </w:r>
      <w:r>
        <w:rPr>
          <w:rFonts w:hint="eastAsia"/>
          <w:color w:val="333333"/>
          <w:sz w:val="21"/>
          <w:szCs w:val="21"/>
        </w:rPr>
        <w:t>部门收支总体情况</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我单位为市直一级全额预算行政单位，2021年部门预算收入为一般公共预算经费拨款；支出包括单位基本运行经费和相关业务项目专项经费。</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1.</w:t>
      </w:r>
      <w:r>
        <w:rPr>
          <w:rFonts w:hint="eastAsia"/>
          <w:color w:val="333333"/>
          <w:sz w:val="21"/>
          <w:szCs w:val="21"/>
        </w:rPr>
        <w:t>收入预算</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2021年我局收入预算1562.13万元，全部为一般公共预算经费拨款。收入较去年增加190.23万元，主要原因是在职和退休人员工资福利性支出和对个人和家庭的补助增加210.23万元、项目经费减少20万元。</w:t>
      </w:r>
    </w:p>
    <w:p>
      <w:pPr>
        <w:pStyle w:val="5"/>
        <w:shd w:val="clear" w:color="auto" w:fill="FFFFFF"/>
        <w:spacing w:before="0" w:beforeAutospacing="0" w:after="0" w:afterAutospacing="0" w:line="400" w:lineRule="atLeast"/>
        <w:ind w:firstLine="370"/>
        <w:rPr>
          <w:rFonts w:hint="eastAsia"/>
          <w:color w:val="333333"/>
          <w:sz w:val="21"/>
          <w:szCs w:val="21"/>
          <w:lang w:val="en-US" w:eastAsia="zh-CN"/>
        </w:rPr>
      </w:pPr>
      <w:r>
        <w:rPr>
          <w:rFonts w:hint="eastAsia"/>
          <w:color w:val="333333"/>
          <w:sz w:val="21"/>
          <w:szCs w:val="21"/>
          <w:lang w:val="en-US" w:eastAsia="zh-CN"/>
        </w:rPr>
        <w:t>2.支出预算</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2021年支出预算1562.13万元，其中基本支出1052.13万元，具体支出明细：工资福利性支出832.53万元、商品和服务支出156.61万元、对个人家庭补助支出62.99万元；项目支出510万元，具体支出明细：基层司法业务280万元、公共法律服务80万元、社区矫正110万元、普法宣传20万元、法制建设20万元。</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支出较去年增加190.23万元，主要原因是人员经费支出增加，基本支出增加210.23万元、项目支出减少20万元。</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四、</w:t>
      </w:r>
      <w:r>
        <w:rPr>
          <w:rFonts w:hint="eastAsia"/>
          <w:color w:val="333333"/>
          <w:sz w:val="21"/>
          <w:szCs w:val="21"/>
          <w:lang w:val="en-US" w:eastAsia="zh-CN"/>
        </w:rPr>
        <w:t>一般公共预算拨款支出预算</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2021年一般公共预算拨款</w:t>
      </w:r>
      <w:r>
        <w:rPr>
          <w:rFonts w:hint="eastAsia"/>
          <w:color w:val="333333"/>
          <w:sz w:val="21"/>
          <w:szCs w:val="21"/>
          <w:lang w:eastAsia="zh-CN"/>
        </w:rPr>
        <w:t>支出预算</w:t>
      </w:r>
      <w:r>
        <w:rPr>
          <w:rFonts w:hint="eastAsia"/>
          <w:color w:val="333333"/>
          <w:sz w:val="21"/>
          <w:szCs w:val="21"/>
        </w:rPr>
        <w:t>1562.13万元，具体安排情况如下：</w:t>
      </w:r>
    </w:p>
    <w:p>
      <w:pPr>
        <w:pStyle w:val="5"/>
        <w:shd w:val="clear" w:color="auto" w:fill="FFFFFF"/>
        <w:spacing w:before="0" w:beforeAutospacing="0" w:after="0" w:afterAutospacing="0" w:line="400" w:lineRule="atLeast"/>
        <w:ind w:firstLine="370"/>
        <w:rPr>
          <w:rFonts w:hint="default" w:eastAsia="宋体"/>
          <w:color w:val="333333"/>
          <w:sz w:val="21"/>
          <w:szCs w:val="21"/>
          <w:lang w:val="en-US" w:eastAsia="zh-CN"/>
        </w:rPr>
      </w:pPr>
      <w:r>
        <w:rPr>
          <w:rFonts w:hint="eastAsia"/>
          <w:color w:val="333333"/>
          <w:sz w:val="21"/>
          <w:szCs w:val="21"/>
          <w:lang w:val="en-US" w:eastAsia="zh-CN"/>
        </w:rPr>
        <w:t>1.</w:t>
      </w:r>
      <w:r>
        <w:rPr>
          <w:rFonts w:hint="eastAsia"/>
          <w:color w:val="333333"/>
          <w:sz w:val="21"/>
          <w:szCs w:val="21"/>
        </w:rPr>
        <w:t>基本支出：2021年年初预算数为1052.13万元，是指为保障单位机构正常运转、完成日常工作任务而发生的各项支出，包括用于基本工资、津贴补贴、奖金、保险等人员经费以及办公费、印刷费、水电费、办公设备购置等日常公用经费。</w:t>
      </w:r>
      <w:r>
        <w:rPr>
          <w:rFonts w:hint="eastAsia"/>
          <w:color w:val="333333"/>
          <w:sz w:val="21"/>
          <w:szCs w:val="21"/>
          <w:lang w:eastAsia="zh-CN"/>
        </w:rPr>
        <w:t>与上年度基本支出预算</w:t>
      </w:r>
      <w:r>
        <w:rPr>
          <w:rFonts w:hint="eastAsia"/>
          <w:color w:val="333333"/>
          <w:sz w:val="21"/>
          <w:szCs w:val="21"/>
          <w:lang w:val="en-US" w:eastAsia="zh-CN"/>
        </w:rPr>
        <w:t>841.9万元</w:t>
      </w:r>
      <w:r>
        <w:rPr>
          <w:rFonts w:hint="eastAsia"/>
          <w:color w:val="333333"/>
          <w:sz w:val="21"/>
          <w:szCs w:val="21"/>
          <w:lang w:eastAsia="zh-CN"/>
        </w:rPr>
        <w:t>相比，增加</w:t>
      </w:r>
      <w:r>
        <w:rPr>
          <w:rFonts w:hint="eastAsia"/>
          <w:color w:val="333333"/>
          <w:sz w:val="21"/>
          <w:szCs w:val="21"/>
          <w:lang w:val="en-US" w:eastAsia="zh-CN"/>
        </w:rPr>
        <w:t>210.23万元，增加的原因是单位人员增加、工资福利性支出增加、公用经费增加。</w:t>
      </w:r>
    </w:p>
    <w:p>
      <w:pPr>
        <w:pStyle w:val="5"/>
        <w:shd w:val="clear" w:color="auto" w:fill="FFFFFF"/>
        <w:spacing w:before="0" w:beforeAutospacing="0" w:after="0" w:afterAutospacing="0" w:line="400" w:lineRule="atLeast"/>
        <w:ind w:firstLine="370"/>
        <w:rPr>
          <w:rFonts w:hint="eastAsia"/>
          <w:color w:val="333333"/>
          <w:sz w:val="21"/>
          <w:szCs w:val="21"/>
          <w:lang w:val="en-US" w:eastAsia="zh-CN"/>
        </w:rPr>
      </w:pPr>
      <w:r>
        <w:rPr>
          <w:rFonts w:hint="eastAsia"/>
          <w:color w:val="333333"/>
          <w:sz w:val="21"/>
          <w:szCs w:val="21"/>
          <w:lang w:val="en-US" w:eastAsia="zh-CN"/>
        </w:rPr>
        <w:t>2.</w:t>
      </w:r>
      <w:r>
        <w:rPr>
          <w:rFonts w:hint="eastAsia"/>
          <w:color w:val="333333"/>
          <w:sz w:val="21"/>
          <w:szCs w:val="21"/>
        </w:rPr>
        <w:t>项目支出：2021年年初预算数为510万元，为完成单位职能职责工作任务而发生的支出，包括普法宣传、公共法律服务、基层司法业务、社区矫正和安置帮教、政府法治建设等业务活动。</w:t>
      </w:r>
      <w:r>
        <w:rPr>
          <w:rFonts w:hint="eastAsia"/>
          <w:color w:val="333333"/>
          <w:sz w:val="21"/>
          <w:szCs w:val="21"/>
          <w:lang w:eastAsia="zh-CN"/>
        </w:rPr>
        <w:t>与上年度项目支出预算</w:t>
      </w:r>
      <w:r>
        <w:rPr>
          <w:rFonts w:hint="eastAsia"/>
          <w:color w:val="333333"/>
          <w:sz w:val="21"/>
          <w:szCs w:val="21"/>
          <w:lang w:val="en-US" w:eastAsia="zh-CN"/>
        </w:rPr>
        <w:t>530万元相比，减少20万元，原因是压缩项目开支。</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五、其他重要事项的情况说明</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1.</w:t>
      </w:r>
      <w:r>
        <w:rPr>
          <w:rFonts w:hint="eastAsia"/>
          <w:color w:val="333333"/>
          <w:sz w:val="21"/>
          <w:szCs w:val="21"/>
        </w:rPr>
        <w:t>机关运行经费</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2021年度机关运行经费156.61万元，比去年增加13.92万元，增长8.8%，主要原因是单位人员增加，交通补助增加。</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2.</w:t>
      </w:r>
      <w:r>
        <w:rPr>
          <w:rFonts w:hint="eastAsia"/>
          <w:color w:val="333333"/>
          <w:sz w:val="21"/>
          <w:szCs w:val="21"/>
        </w:rPr>
        <w:t>“三公”经费预算</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2021年“三公”经费预算22万元。其中：公务接待6万元；公务用车运行维护费16万元，执法执勤车辆4台。2021 年“三公”经费预算与2020 年持平。</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3.</w:t>
      </w:r>
      <w:r>
        <w:rPr>
          <w:rFonts w:hint="eastAsia"/>
          <w:color w:val="333333"/>
          <w:sz w:val="21"/>
          <w:szCs w:val="21"/>
        </w:rPr>
        <w:t>政府采购情况</w:t>
      </w:r>
    </w:p>
    <w:p>
      <w:pPr>
        <w:pStyle w:val="5"/>
        <w:shd w:val="clear" w:color="auto" w:fill="FFFFFF"/>
        <w:spacing w:before="0" w:beforeAutospacing="0" w:after="0" w:afterAutospacing="0" w:line="400" w:lineRule="atLeast"/>
        <w:ind w:firstLine="370"/>
        <w:rPr>
          <w:rFonts w:hint="default" w:eastAsia="宋体"/>
          <w:color w:val="333333"/>
          <w:sz w:val="21"/>
          <w:szCs w:val="21"/>
          <w:lang w:val="en-US" w:eastAsia="zh-CN"/>
        </w:rPr>
      </w:pPr>
      <w:r>
        <w:rPr>
          <w:rFonts w:hint="eastAsia"/>
          <w:color w:val="333333"/>
          <w:sz w:val="21"/>
          <w:szCs w:val="21"/>
        </w:rPr>
        <w:t>2021年政府采购预算金额284万元，其中</w:t>
      </w:r>
      <w:r>
        <w:rPr>
          <w:rFonts w:hint="eastAsia"/>
          <w:color w:val="333333"/>
          <w:sz w:val="21"/>
          <w:szCs w:val="21"/>
          <w:lang w:eastAsia="zh-CN"/>
        </w:rPr>
        <w:t>政府采购货物类</w:t>
      </w:r>
      <w:r>
        <w:rPr>
          <w:rFonts w:hint="eastAsia"/>
          <w:color w:val="333333"/>
          <w:sz w:val="21"/>
          <w:szCs w:val="21"/>
          <w:lang w:val="en-US" w:eastAsia="zh-CN"/>
        </w:rPr>
        <w:t>46</w:t>
      </w:r>
      <w:r>
        <w:rPr>
          <w:rFonts w:hint="eastAsia"/>
          <w:color w:val="333333"/>
          <w:sz w:val="21"/>
          <w:szCs w:val="21"/>
        </w:rPr>
        <w:t>万</w:t>
      </w:r>
      <w:r>
        <w:rPr>
          <w:rFonts w:hint="eastAsia"/>
          <w:color w:val="333333"/>
          <w:sz w:val="21"/>
          <w:szCs w:val="21"/>
          <w:lang w:eastAsia="zh-CN"/>
        </w:rPr>
        <w:t>元</w:t>
      </w:r>
      <w:r>
        <w:rPr>
          <w:rFonts w:hint="eastAsia"/>
          <w:color w:val="333333"/>
          <w:sz w:val="21"/>
          <w:szCs w:val="21"/>
        </w:rPr>
        <w:t>、</w:t>
      </w:r>
      <w:r>
        <w:rPr>
          <w:rFonts w:hint="eastAsia"/>
          <w:color w:val="333333"/>
          <w:sz w:val="21"/>
          <w:szCs w:val="21"/>
          <w:lang w:eastAsia="zh-CN"/>
        </w:rPr>
        <w:t>政府采购服务类</w:t>
      </w:r>
      <w:r>
        <w:rPr>
          <w:rFonts w:hint="eastAsia"/>
          <w:color w:val="333333"/>
          <w:sz w:val="21"/>
          <w:szCs w:val="21"/>
        </w:rPr>
        <w:t>238万元</w:t>
      </w:r>
      <w:r>
        <w:rPr>
          <w:rFonts w:hint="eastAsia"/>
          <w:color w:val="333333"/>
          <w:sz w:val="21"/>
          <w:szCs w:val="21"/>
          <w:lang w:eastAsia="zh-CN"/>
        </w:rPr>
        <w:t>、工程类</w:t>
      </w:r>
      <w:r>
        <w:rPr>
          <w:rFonts w:hint="eastAsia"/>
          <w:color w:val="333333"/>
          <w:sz w:val="21"/>
          <w:szCs w:val="21"/>
          <w:lang w:val="en-US" w:eastAsia="zh-CN"/>
        </w:rPr>
        <w:t>0元。</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4.</w:t>
      </w:r>
      <w:r>
        <w:rPr>
          <w:rFonts w:hint="eastAsia"/>
          <w:color w:val="333333"/>
          <w:sz w:val="21"/>
          <w:szCs w:val="21"/>
        </w:rPr>
        <w:t>预算绩效管理情况</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按照市本级预算绩效管理工作的总体要求，2021年我局整体支出1562.13万元，全部实行整体支出绩效目标管理，编报项目支出绩效目标5个，涉及经费510万元，其中普法宣传20万元，法制建设20万元，公共法律服务援助80万元；社区矫正和安置帮教项目110万元；基层司法业务280万元，全部实行项目支出绩效目标管理。</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5.</w:t>
      </w:r>
      <w:r>
        <w:rPr>
          <w:rFonts w:hint="eastAsia"/>
          <w:color w:val="333333"/>
          <w:sz w:val="21"/>
          <w:szCs w:val="21"/>
        </w:rPr>
        <w:t>国有资产占用情况</w:t>
      </w:r>
      <w:bookmarkStart w:id="0" w:name="_GoBack"/>
      <w:bookmarkEnd w:id="0"/>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我单位无价值50万元以上通用设备</w:t>
      </w:r>
      <w:r>
        <w:rPr>
          <w:rFonts w:hint="eastAsia"/>
          <w:color w:val="333333"/>
          <w:sz w:val="21"/>
          <w:szCs w:val="21"/>
          <w:lang w:eastAsia="zh-CN"/>
        </w:rPr>
        <w:t>和专用设备</w:t>
      </w:r>
      <w:r>
        <w:rPr>
          <w:rFonts w:hint="eastAsia"/>
          <w:color w:val="333333"/>
          <w:sz w:val="21"/>
          <w:szCs w:val="21"/>
        </w:rPr>
        <w:t>。截止2020年10月31日，我单位固定资产原值386.82万元、累计折旧276.13万元、净值110.69万元，其中通用设备557件（执法执勤车辆4台</w:t>
      </w:r>
      <w:r>
        <w:rPr>
          <w:rFonts w:hint="eastAsia"/>
          <w:color w:val="333333"/>
          <w:sz w:val="21"/>
          <w:szCs w:val="21"/>
          <w:lang w:eastAsia="zh-CN"/>
        </w:rPr>
        <w:t>，单位车辆全部是执法执勤车辆</w:t>
      </w:r>
      <w:r>
        <w:rPr>
          <w:rFonts w:hint="eastAsia"/>
          <w:color w:val="333333"/>
          <w:sz w:val="21"/>
          <w:szCs w:val="21"/>
        </w:rPr>
        <w:t>）、专用设备21件、家具等1063件。</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6.</w:t>
      </w:r>
      <w:r>
        <w:rPr>
          <w:rFonts w:hint="eastAsia"/>
          <w:color w:val="333333"/>
          <w:sz w:val="21"/>
          <w:szCs w:val="21"/>
        </w:rPr>
        <w:t>政府性基金预算支出</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我单位没有政府性基金预算支出。</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六、名词解释</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1.</w:t>
      </w:r>
      <w:r>
        <w:rPr>
          <w:rFonts w:hint="eastAsia"/>
          <w:color w:val="333333"/>
          <w:sz w:val="21"/>
          <w:szCs w:val="21"/>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lang w:val="en-US" w:eastAsia="zh-CN"/>
        </w:rPr>
        <w:t>2.</w:t>
      </w:r>
      <w:r>
        <w:rPr>
          <w:rFonts w:hint="eastAsia"/>
          <w:color w:val="333333"/>
          <w:sz w:val="21"/>
          <w:szCs w:val="21"/>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5"/>
        <w:shd w:val="clear" w:color="auto" w:fill="FFFFFF"/>
        <w:spacing w:before="0" w:beforeAutospacing="0" w:after="0" w:afterAutospacing="0" w:line="400" w:lineRule="atLeast"/>
        <w:ind w:firstLine="370"/>
        <w:rPr>
          <w:rFonts w:hint="eastAsia"/>
          <w:color w:val="333333"/>
          <w:sz w:val="21"/>
          <w:szCs w:val="21"/>
        </w:rPr>
      </w:pPr>
    </w:p>
    <w:p>
      <w:pPr>
        <w:pStyle w:val="5"/>
        <w:shd w:val="clear" w:color="auto" w:fill="FFFFFF"/>
        <w:spacing w:before="0" w:beforeAutospacing="0" w:after="0" w:afterAutospacing="0" w:line="400" w:lineRule="atLeast"/>
        <w:ind w:firstLine="370"/>
        <w:jc w:val="center"/>
        <w:rPr>
          <w:rFonts w:hint="eastAsia"/>
          <w:color w:val="333333"/>
          <w:sz w:val="21"/>
          <w:szCs w:val="21"/>
        </w:rPr>
      </w:pPr>
      <w:r>
        <w:rPr>
          <w:rFonts w:hint="eastAsia"/>
          <w:color w:val="333333"/>
          <w:sz w:val="21"/>
          <w:szCs w:val="21"/>
        </w:rPr>
        <w:t>第二部分  部门预算公开表格 </w:t>
      </w:r>
    </w:p>
    <w:p>
      <w:pPr>
        <w:pStyle w:val="5"/>
        <w:shd w:val="clear" w:color="auto" w:fill="FFFFFF"/>
        <w:spacing w:before="0" w:beforeAutospacing="0" w:after="0" w:afterAutospacing="0" w:line="400" w:lineRule="atLeast"/>
        <w:ind w:firstLine="370"/>
        <w:rPr>
          <w:rFonts w:hint="eastAsia"/>
          <w:color w:val="333333"/>
          <w:sz w:val="21"/>
          <w:szCs w:val="21"/>
        </w:rPr>
      </w:pP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1.部门收支总体情况表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2.部门收入总体情况表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3.部门支出总体情况表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4.财政拨款收支总体情况表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5.一般公共预算支出情况表（公开到功能分类项级科目）</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6.一般公共预算基本支出情况表（公开到经济性质分类款级科目）</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7.一般公共预算“三公”经费支出情况表（细化到“公务用车购置费”和“公务用车运行费”公开）</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8.政府性基金预算支出情况表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9.部门整体支出绩效目标申报表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10.项目绩效目标表</w:t>
      </w:r>
    </w:p>
    <w:p>
      <w:pPr>
        <w:pStyle w:val="5"/>
        <w:shd w:val="clear" w:color="auto" w:fill="FFFFFF"/>
        <w:spacing w:before="0" w:beforeAutospacing="0" w:after="0" w:afterAutospacing="0" w:line="400" w:lineRule="atLeast"/>
        <w:ind w:firstLine="370"/>
        <w:rPr>
          <w:rFonts w:hint="eastAsia"/>
          <w:color w:val="333333"/>
          <w:sz w:val="21"/>
          <w:szCs w:val="21"/>
        </w:rPr>
      </w:pPr>
      <w:r>
        <w:rPr>
          <w:rFonts w:hint="eastAsia"/>
          <w:color w:val="333333"/>
          <w:sz w:val="21"/>
          <w:szCs w:val="21"/>
        </w:rPr>
        <w:t>11.项目支出绩效目标表</w:t>
      </w:r>
    </w:p>
    <w:p>
      <w:pPr>
        <w:pStyle w:val="5"/>
        <w:shd w:val="clear" w:color="auto" w:fill="FFFFFF"/>
        <w:spacing w:before="0" w:beforeAutospacing="0" w:after="0" w:afterAutospacing="0" w:line="400" w:lineRule="atLeast"/>
        <w:ind w:firstLine="370"/>
        <w:rPr>
          <w:rFonts w:hint="eastAsia"/>
          <w:color w:val="333333"/>
          <w:sz w:val="21"/>
          <w:szCs w:val="21"/>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roman"/>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6894FD"/>
    <w:multiLevelType w:val="singleLevel"/>
    <w:tmpl w:val="026894FD"/>
    <w:lvl w:ilvl="0" w:tentative="0">
      <w:start w:val="1"/>
      <w:numFmt w:val="chineseCounting"/>
      <w:suff w:val="nothing"/>
      <w:lvlText w:val="第%1部分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iNjA0MmIyZmZhYWUyYzhmNTVlNjMwODNlNjU1ZWEifQ=="/>
  </w:docVars>
  <w:rsids>
    <w:rsidRoot w:val="00525DBC"/>
    <w:rsid w:val="00031DD9"/>
    <w:rsid w:val="00047290"/>
    <w:rsid w:val="0006045B"/>
    <w:rsid w:val="000739E5"/>
    <w:rsid w:val="0008174C"/>
    <w:rsid w:val="000C53CB"/>
    <w:rsid w:val="000F3FE1"/>
    <w:rsid w:val="00141F45"/>
    <w:rsid w:val="00152D65"/>
    <w:rsid w:val="00152E46"/>
    <w:rsid w:val="001B25F6"/>
    <w:rsid w:val="001B7C1F"/>
    <w:rsid w:val="001C3144"/>
    <w:rsid w:val="001D17CC"/>
    <w:rsid w:val="001E0758"/>
    <w:rsid w:val="00206933"/>
    <w:rsid w:val="0022584D"/>
    <w:rsid w:val="002330A9"/>
    <w:rsid w:val="002809C1"/>
    <w:rsid w:val="002939FA"/>
    <w:rsid w:val="002A609A"/>
    <w:rsid w:val="002A7A98"/>
    <w:rsid w:val="002F40A1"/>
    <w:rsid w:val="0035450C"/>
    <w:rsid w:val="00360FD5"/>
    <w:rsid w:val="003800B8"/>
    <w:rsid w:val="00385425"/>
    <w:rsid w:val="003B2518"/>
    <w:rsid w:val="003B34B4"/>
    <w:rsid w:val="003C1BAB"/>
    <w:rsid w:val="00423D84"/>
    <w:rsid w:val="00427327"/>
    <w:rsid w:val="00457EC7"/>
    <w:rsid w:val="00525DBC"/>
    <w:rsid w:val="0053384C"/>
    <w:rsid w:val="005464D4"/>
    <w:rsid w:val="00586B27"/>
    <w:rsid w:val="005F0B69"/>
    <w:rsid w:val="0066253A"/>
    <w:rsid w:val="0069502F"/>
    <w:rsid w:val="006A4AEE"/>
    <w:rsid w:val="006B32FE"/>
    <w:rsid w:val="006B65E1"/>
    <w:rsid w:val="006E3696"/>
    <w:rsid w:val="006F6844"/>
    <w:rsid w:val="00702A64"/>
    <w:rsid w:val="00730846"/>
    <w:rsid w:val="00765BFD"/>
    <w:rsid w:val="007C678C"/>
    <w:rsid w:val="007D435E"/>
    <w:rsid w:val="00802233"/>
    <w:rsid w:val="008061C2"/>
    <w:rsid w:val="0082263B"/>
    <w:rsid w:val="00830021"/>
    <w:rsid w:val="008433C1"/>
    <w:rsid w:val="0085641E"/>
    <w:rsid w:val="00876023"/>
    <w:rsid w:val="00994D0E"/>
    <w:rsid w:val="009B3E09"/>
    <w:rsid w:val="009C44CB"/>
    <w:rsid w:val="009D4AB5"/>
    <w:rsid w:val="00A13715"/>
    <w:rsid w:val="00A26AC5"/>
    <w:rsid w:val="00A44730"/>
    <w:rsid w:val="00A7552D"/>
    <w:rsid w:val="00A81850"/>
    <w:rsid w:val="00AD15A0"/>
    <w:rsid w:val="00AF2CAC"/>
    <w:rsid w:val="00B403BC"/>
    <w:rsid w:val="00B53A96"/>
    <w:rsid w:val="00B645DD"/>
    <w:rsid w:val="00B70E19"/>
    <w:rsid w:val="00B75C03"/>
    <w:rsid w:val="00B820DE"/>
    <w:rsid w:val="00BA0158"/>
    <w:rsid w:val="00BA72AC"/>
    <w:rsid w:val="00BE2E72"/>
    <w:rsid w:val="00C076AD"/>
    <w:rsid w:val="00C07780"/>
    <w:rsid w:val="00C16EAC"/>
    <w:rsid w:val="00C26AE2"/>
    <w:rsid w:val="00C50912"/>
    <w:rsid w:val="00C66B00"/>
    <w:rsid w:val="00CC128B"/>
    <w:rsid w:val="00CC3DD6"/>
    <w:rsid w:val="00CC5BC3"/>
    <w:rsid w:val="00CD753F"/>
    <w:rsid w:val="00CE5233"/>
    <w:rsid w:val="00D10D9E"/>
    <w:rsid w:val="00D27A37"/>
    <w:rsid w:val="00D522AB"/>
    <w:rsid w:val="00DB0046"/>
    <w:rsid w:val="00DE505B"/>
    <w:rsid w:val="00DF4F64"/>
    <w:rsid w:val="00E074B6"/>
    <w:rsid w:val="00E41A42"/>
    <w:rsid w:val="00E47AF9"/>
    <w:rsid w:val="00F7324F"/>
    <w:rsid w:val="00F8209C"/>
    <w:rsid w:val="01260D30"/>
    <w:rsid w:val="26D13655"/>
    <w:rsid w:val="2897500F"/>
    <w:rsid w:val="2A685620"/>
    <w:rsid w:val="2ACF4CD1"/>
    <w:rsid w:val="2B506842"/>
    <w:rsid w:val="30B362CA"/>
    <w:rsid w:val="310B74AA"/>
    <w:rsid w:val="376716FF"/>
    <w:rsid w:val="3CE65EAB"/>
    <w:rsid w:val="41E85D9F"/>
    <w:rsid w:val="446A696E"/>
    <w:rsid w:val="44874B86"/>
    <w:rsid w:val="491D6A3D"/>
    <w:rsid w:val="4B0424FE"/>
    <w:rsid w:val="4F871FB3"/>
    <w:rsid w:val="6A6F29F9"/>
    <w:rsid w:val="6AF52D3C"/>
    <w:rsid w:val="6C9A5F76"/>
    <w:rsid w:val="6CDB336B"/>
    <w:rsid w:val="6D1A7BD3"/>
    <w:rsid w:val="6E907F6B"/>
    <w:rsid w:val="7BEE7E2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locked/>
    <w:uiPriority w:val="99"/>
    <w:rPr>
      <w:rFonts w:cs="Times New Roman"/>
      <w:b/>
      <w:bCs/>
    </w:rPr>
  </w:style>
  <w:style w:type="character" w:customStyle="1" w:styleId="9">
    <w:name w:val="批注框文本 Char"/>
    <w:basedOn w:val="7"/>
    <w:link w:val="2"/>
    <w:semiHidden/>
    <w:qFormat/>
    <w:locked/>
    <w:uiPriority w:val="99"/>
    <w:rPr>
      <w:rFonts w:cs="Times New Roman"/>
      <w:sz w:val="18"/>
      <w:szCs w:val="18"/>
    </w:rPr>
  </w:style>
  <w:style w:type="character" w:customStyle="1" w:styleId="10">
    <w:name w:val="页眉 Char"/>
    <w:basedOn w:val="7"/>
    <w:link w:val="4"/>
    <w:semiHidden/>
    <w:qFormat/>
    <w:locked/>
    <w:uiPriority w:val="99"/>
    <w:rPr>
      <w:rFonts w:cs="Times New Roman"/>
      <w:sz w:val="18"/>
      <w:szCs w:val="18"/>
    </w:rPr>
  </w:style>
  <w:style w:type="character" w:customStyle="1" w:styleId="11">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2677</Words>
  <Characters>2958</Characters>
  <Lines>20</Lines>
  <Paragraphs>5</Paragraphs>
  <TotalTime>29</TotalTime>
  <ScaleCrop>false</ScaleCrop>
  <LinksUpToDate>false</LinksUpToDate>
  <CharactersWithSpaces>2968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2022-01-06T02:58:00Z</dcterms:created>
  <dc:creator>pgos</dc:creator>
  <cp:lastModifiedBy>Administrator</cp:lastModifiedBy>
  <cp:lastPrinted>2020-01-03T02:02:00Z</cp:lastPrinted>
  <dcterms:modified xsi:type="dcterms:W3CDTF">2022-09-06T03:27:55Z</dcterms:modified>
  <dc:title>关于进一步做好预决算公开工作的通知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1CEA598E4C0B4A288A2D7D234DB32678</vt:lpwstr>
  </property>
</Properties>
</file>