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黑体" w:eastAsia="黑体"/>
          <w:sz w:val="32"/>
          <w:szCs w:val="32"/>
        </w:rPr>
      </w:pPr>
      <w:bookmarkStart w:id="0" w:name="_GoBack"/>
      <w:bookmarkEnd w:id="0"/>
      <w:r>
        <w:rPr>
          <w:rFonts w:hint="eastAsia" w:ascii="黑体" w:hAnsi="黑体" w:eastAsia="黑体"/>
          <w:sz w:val="32"/>
          <w:szCs w:val="32"/>
        </w:rPr>
        <w:t>附件1</w:t>
      </w:r>
    </w:p>
    <w:p>
      <w:pPr>
        <w:widowControl/>
        <w:spacing w:line="579" w:lineRule="exact"/>
        <w:jc w:val="center"/>
        <w:rPr>
          <w:rFonts w:ascii="方正小标宋简体" w:hAnsi="方正小标宋简体" w:eastAsia="方正小标宋简体" w:cs="方正小标宋简体"/>
          <w:kern w:val="0"/>
          <w:sz w:val="44"/>
          <w:szCs w:val="44"/>
          <w:lang w:bidi="ar"/>
        </w:rPr>
      </w:pPr>
    </w:p>
    <w:p>
      <w:pPr>
        <w:widowControl/>
        <w:spacing w:line="579" w:lineRule="exact"/>
        <w:jc w:val="center"/>
        <w:rPr>
          <w:rFonts w:hint="eastAsia" w:ascii="方正小标宋简体" w:hAnsi="方正小标宋简体" w:eastAsia="方正小标宋简体" w:cs="方正小标宋简体"/>
          <w:kern w:val="0"/>
          <w:sz w:val="44"/>
          <w:szCs w:val="44"/>
          <w:lang w:bidi="ar"/>
        </w:rPr>
      </w:pPr>
      <w:r>
        <w:rPr>
          <w:rFonts w:hint="eastAsia" w:ascii="方正小标宋简体" w:hAnsi="方正小标宋简体" w:eastAsia="方正小标宋简体" w:cs="方正小标宋简体"/>
          <w:kern w:val="0"/>
          <w:sz w:val="44"/>
          <w:szCs w:val="44"/>
          <w:lang w:bidi="ar"/>
        </w:rPr>
        <w:t>宁乡市202</w:t>
      </w:r>
      <w:r>
        <w:rPr>
          <w:rFonts w:hint="eastAsia" w:ascii="方正小标宋简体" w:hAnsi="方正小标宋简体" w:eastAsia="方正小标宋简体" w:cs="方正小标宋简体"/>
          <w:kern w:val="0"/>
          <w:sz w:val="44"/>
          <w:szCs w:val="44"/>
          <w:lang w:val="en-GB" w:bidi="ar"/>
        </w:rPr>
        <w:t>5年</w:t>
      </w:r>
      <w:r>
        <w:rPr>
          <w:rFonts w:hint="eastAsia" w:ascii="方正小标宋简体" w:hAnsi="方正小标宋简体" w:eastAsia="方正小标宋简体" w:cs="方正小标宋简体"/>
          <w:kern w:val="0"/>
          <w:sz w:val="44"/>
          <w:szCs w:val="44"/>
          <w:lang w:bidi="ar"/>
        </w:rPr>
        <w:t>中央农业防灾减灾和水利救灾资金（动物防疫补助）实施方案</w:t>
      </w:r>
    </w:p>
    <w:p>
      <w:pPr>
        <w:widowControl/>
        <w:spacing w:line="579" w:lineRule="exact"/>
        <w:ind w:firstLine="860" w:firstLineChars="200"/>
        <w:rPr>
          <w:rFonts w:ascii="Times New Roman" w:hAnsi="Times New Roman" w:eastAsia="黑体" w:cs="Times New Roman"/>
          <w:kern w:val="0"/>
          <w:sz w:val="43"/>
          <w:szCs w:val="43"/>
          <w:lang w:bidi="ar"/>
        </w:rPr>
      </w:pPr>
    </w:p>
    <w:p>
      <w:pPr>
        <w:spacing w:line="530" w:lineRule="exact"/>
        <w:ind w:firstLine="640" w:firstLineChars="200"/>
        <w:rPr>
          <w:rFonts w:ascii="Times New Roman" w:hAnsi="Times New Roman" w:eastAsia="仿宋" w:cs="Times New Roman"/>
          <w:kern w:val="0"/>
          <w:sz w:val="32"/>
          <w:szCs w:val="32"/>
          <w:lang w:bidi="ar"/>
        </w:rPr>
      </w:pPr>
      <w:r>
        <w:rPr>
          <w:rFonts w:hint="eastAsia" w:ascii="Times New Roman" w:hAnsi="Times New Roman" w:eastAsia="仿宋" w:cs="Times New Roman"/>
          <w:kern w:val="0"/>
          <w:sz w:val="32"/>
          <w:szCs w:val="32"/>
          <w:lang w:bidi="ar"/>
        </w:rPr>
        <w:t>根据《湖南省财政厅关于下达2025年中央农业防灾减灾和水利救灾资金（动物防疫补助）预算的通知》（</w:t>
      </w:r>
      <w:r>
        <w:rPr>
          <w:rFonts w:ascii="Times New Roman" w:hAnsi="Times New Roman" w:eastAsia="仿宋" w:cs="Times New Roman"/>
          <w:kern w:val="0"/>
          <w:sz w:val="32"/>
          <w:szCs w:val="32"/>
          <w:lang w:bidi="ar"/>
        </w:rPr>
        <w:t>湘财预〔202</w:t>
      </w:r>
      <w:r>
        <w:rPr>
          <w:rFonts w:ascii="Times New Roman" w:hAnsi="Times New Roman" w:eastAsia="仿宋" w:cs="Times New Roman"/>
          <w:kern w:val="0"/>
          <w:sz w:val="32"/>
          <w:szCs w:val="32"/>
          <w:lang w:val="en-GB" w:bidi="ar"/>
        </w:rPr>
        <w:t>5</w:t>
      </w:r>
      <w:r>
        <w:rPr>
          <w:rFonts w:ascii="Times New Roman" w:hAnsi="Times New Roman" w:eastAsia="仿宋" w:cs="Times New Roman"/>
          <w:kern w:val="0"/>
          <w:sz w:val="32"/>
          <w:szCs w:val="32"/>
          <w:lang w:bidi="ar"/>
        </w:rPr>
        <w:t>〕</w:t>
      </w:r>
      <w:r>
        <w:rPr>
          <w:rFonts w:ascii="Times New Roman" w:hAnsi="Times New Roman" w:eastAsia="仿宋" w:cs="Times New Roman"/>
          <w:kern w:val="0"/>
          <w:sz w:val="32"/>
          <w:szCs w:val="32"/>
          <w:lang w:val="en-GB" w:bidi="ar"/>
        </w:rPr>
        <w:t>5</w:t>
      </w:r>
      <w:r>
        <w:rPr>
          <w:rFonts w:ascii="Times New Roman" w:hAnsi="Times New Roman" w:eastAsia="仿宋" w:cs="Times New Roman"/>
          <w:kern w:val="0"/>
          <w:sz w:val="32"/>
          <w:szCs w:val="32"/>
          <w:lang w:bidi="ar"/>
        </w:rPr>
        <w:t>号</w:t>
      </w:r>
      <w:r>
        <w:rPr>
          <w:rFonts w:hint="eastAsia" w:ascii="Times New Roman" w:hAnsi="Times New Roman" w:eastAsia="仿宋" w:cs="Times New Roman"/>
          <w:kern w:val="0"/>
          <w:sz w:val="32"/>
          <w:szCs w:val="32"/>
          <w:lang w:bidi="ar"/>
        </w:rPr>
        <w:t>）</w:t>
      </w:r>
      <w:r>
        <w:rPr>
          <w:rFonts w:ascii="Times New Roman" w:hAnsi="Times New Roman" w:eastAsia="仿宋" w:cs="Times New Roman"/>
          <w:kern w:val="0"/>
          <w:sz w:val="32"/>
          <w:szCs w:val="32"/>
          <w:lang w:bidi="ar"/>
        </w:rPr>
        <w:t>、</w:t>
      </w:r>
      <w:r>
        <w:rPr>
          <w:rFonts w:hint="eastAsia" w:ascii="Times New Roman" w:hAnsi="Times New Roman" w:eastAsia="仿宋" w:cs="Times New Roman"/>
          <w:kern w:val="0"/>
          <w:sz w:val="32"/>
          <w:szCs w:val="32"/>
          <w:lang w:bidi="ar"/>
        </w:rPr>
        <w:t>《湖南省财政厅关于下达2025年中央农业防灾减灾和水利救灾资金（动物防疫补助）预算的通知》（湘财预〔2025〕105号）文件下达资金，按照项目</w:t>
      </w:r>
      <w:r>
        <w:rPr>
          <w:rFonts w:ascii="Times New Roman" w:hAnsi="Times New Roman" w:eastAsia="仿宋" w:cs="Times New Roman"/>
          <w:kern w:val="0"/>
          <w:sz w:val="32"/>
          <w:szCs w:val="32"/>
          <w:lang w:bidi="ar"/>
        </w:rPr>
        <w:t>资金备案</w:t>
      </w:r>
      <w:r>
        <w:rPr>
          <w:rFonts w:hint="eastAsia" w:ascii="Times New Roman" w:hAnsi="Times New Roman" w:eastAsia="仿宋" w:cs="Times New Roman"/>
          <w:kern w:val="0"/>
          <w:sz w:val="32"/>
          <w:szCs w:val="32"/>
          <w:lang w:bidi="ar"/>
        </w:rPr>
        <w:t>等</w:t>
      </w:r>
      <w:r>
        <w:rPr>
          <w:rFonts w:ascii="Times New Roman" w:hAnsi="Times New Roman" w:eastAsia="仿宋" w:cs="Times New Roman"/>
          <w:kern w:val="0"/>
          <w:sz w:val="32"/>
          <w:szCs w:val="32"/>
          <w:lang w:bidi="ar"/>
        </w:rPr>
        <w:t>有关要求，将</w:t>
      </w:r>
      <w:r>
        <w:rPr>
          <w:rFonts w:hint="eastAsia" w:ascii="Times New Roman" w:hAnsi="Times New Roman" w:eastAsia="仿宋" w:cs="Times New Roman"/>
          <w:kern w:val="0"/>
          <w:sz w:val="32"/>
          <w:szCs w:val="32"/>
          <w:lang w:bidi="ar"/>
        </w:rPr>
        <w:t>下达</w:t>
      </w:r>
      <w:r>
        <w:rPr>
          <w:rFonts w:ascii="Times New Roman" w:hAnsi="Times New Roman" w:eastAsia="仿宋" w:cs="Times New Roman"/>
          <w:kern w:val="0"/>
          <w:sz w:val="32"/>
          <w:szCs w:val="32"/>
          <w:lang w:bidi="ar"/>
        </w:rPr>
        <w:t>我市</w:t>
      </w:r>
      <w:r>
        <w:rPr>
          <w:rFonts w:hint="eastAsia" w:ascii="Times New Roman" w:hAnsi="Times New Roman" w:eastAsia="仿宋" w:cs="Times New Roman"/>
          <w:kern w:val="0"/>
          <w:sz w:val="32"/>
          <w:szCs w:val="32"/>
          <w:lang w:bidi="ar"/>
        </w:rPr>
        <w:t>（</w:t>
      </w:r>
      <w:r>
        <w:rPr>
          <w:rFonts w:ascii="Times New Roman" w:hAnsi="Times New Roman" w:eastAsia="仿宋" w:cs="Times New Roman"/>
          <w:kern w:val="0"/>
          <w:sz w:val="32"/>
          <w:szCs w:val="32"/>
          <w:lang w:bidi="ar"/>
        </w:rPr>
        <w:t>州</w:t>
      </w:r>
      <w:r>
        <w:rPr>
          <w:rFonts w:hint="eastAsia" w:ascii="Times New Roman" w:hAnsi="Times New Roman" w:eastAsia="仿宋" w:cs="Times New Roman"/>
          <w:kern w:val="0"/>
          <w:sz w:val="32"/>
          <w:szCs w:val="32"/>
          <w:lang w:bidi="ar"/>
        </w:rPr>
        <w:t>）</w:t>
      </w:r>
      <w:r>
        <w:rPr>
          <w:rFonts w:ascii="Times New Roman" w:hAnsi="Times New Roman" w:eastAsia="仿宋" w:cs="Times New Roman"/>
          <w:kern w:val="0"/>
          <w:sz w:val="32"/>
          <w:szCs w:val="32"/>
          <w:lang w:bidi="ar"/>
        </w:rPr>
        <w:t>本级（县市区）</w:t>
      </w:r>
      <w:r>
        <w:rPr>
          <w:rFonts w:hint="eastAsia" w:ascii="Times New Roman" w:hAnsi="Times New Roman" w:eastAsia="仿宋" w:cs="Times New Roman"/>
          <w:kern w:val="0"/>
          <w:sz w:val="32"/>
          <w:szCs w:val="32"/>
          <w:lang w:bidi="ar"/>
        </w:rPr>
        <w:t>相关经费</w:t>
      </w:r>
      <w:r>
        <w:rPr>
          <w:rFonts w:ascii="Times New Roman" w:hAnsi="Times New Roman" w:eastAsia="仿宋" w:cs="Times New Roman"/>
          <w:kern w:val="0"/>
          <w:sz w:val="32"/>
          <w:szCs w:val="32"/>
          <w:lang w:bidi="ar"/>
        </w:rPr>
        <w:t xml:space="preserve">使用方案说明如下： </w:t>
      </w:r>
    </w:p>
    <w:p>
      <w:pPr>
        <w:spacing w:line="530" w:lineRule="exact"/>
        <w:ind w:firstLine="640" w:firstLineChars="200"/>
        <w:rPr>
          <w:rFonts w:ascii="Times New Roman" w:hAnsi="Times New Roman" w:eastAsia="黑体" w:cs="Times New Roman"/>
          <w:kern w:val="0"/>
          <w:sz w:val="32"/>
          <w:szCs w:val="32"/>
          <w:lang w:bidi="ar"/>
        </w:rPr>
      </w:pPr>
      <w:r>
        <w:rPr>
          <w:rFonts w:ascii="Times New Roman" w:hAnsi="Times New Roman" w:eastAsia="黑体" w:cs="Times New Roman"/>
          <w:kern w:val="0"/>
          <w:sz w:val="32"/>
          <w:szCs w:val="32"/>
          <w:lang w:bidi="ar"/>
        </w:rPr>
        <w:t>一、资金额度</w:t>
      </w:r>
      <w:r>
        <w:rPr>
          <w:rFonts w:hint="eastAsia" w:ascii="Times New Roman" w:hAnsi="Times New Roman" w:cs="Times New Roman"/>
          <w:kern w:val="0"/>
          <w:sz w:val="32"/>
          <w:szCs w:val="32"/>
          <w:lang w:bidi="ar"/>
        </w:rPr>
        <w:t>和使用方向</w:t>
      </w:r>
    </w:p>
    <w:p>
      <w:pPr>
        <w:spacing w:line="530" w:lineRule="exact"/>
        <w:ind w:firstLine="640" w:firstLineChars="200"/>
        <w:rPr>
          <w:rFonts w:ascii="Times New Roman" w:hAnsi="Times New Roman" w:eastAsia="仿宋" w:cs="Times New Roman"/>
          <w:kern w:val="0"/>
          <w:sz w:val="32"/>
          <w:szCs w:val="32"/>
          <w:lang w:bidi="ar"/>
        </w:rPr>
      </w:pPr>
      <w:r>
        <w:rPr>
          <w:rFonts w:ascii="Times New Roman" w:hAnsi="Times New Roman" w:eastAsia="仿宋" w:cs="Times New Roman"/>
          <w:kern w:val="0"/>
          <w:sz w:val="32"/>
          <w:szCs w:val="32"/>
          <w:lang w:bidi="ar"/>
        </w:rPr>
        <w:t>2025年中央财政安排我</w:t>
      </w:r>
      <w:r>
        <w:rPr>
          <w:rFonts w:hint="eastAsia" w:ascii="Times New Roman" w:hAnsi="Times New Roman" w:eastAsia="仿宋" w:cs="Times New Roman"/>
          <w:kern w:val="0"/>
          <w:sz w:val="32"/>
          <w:szCs w:val="32"/>
          <w:lang w:bidi="ar"/>
        </w:rPr>
        <w:t>单位</w:t>
      </w:r>
      <w:r>
        <w:rPr>
          <w:rFonts w:ascii="Times New Roman" w:hAnsi="Times New Roman" w:eastAsia="仿宋" w:cs="Times New Roman"/>
          <w:kern w:val="0"/>
          <w:sz w:val="32"/>
          <w:szCs w:val="32"/>
          <w:lang w:bidi="ar"/>
        </w:rPr>
        <w:t>中央农业防灾减灾和水利救灾资金（动物防疫补助）</w:t>
      </w:r>
      <w:r>
        <w:rPr>
          <w:rFonts w:hint="eastAsia" w:ascii="Times New Roman" w:hAnsi="Times New Roman" w:eastAsia="仿宋" w:cs="Times New Roman"/>
          <w:kern w:val="0"/>
          <w:sz w:val="32"/>
          <w:szCs w:val="32"/>
          <w:lang w:bidi="ar"/>
        </w:rPr>
        <w:t>共计</w:t>
      </w:r>
      <w:r>
        <w:rPr>
          <w:rFonts w:hint="eastAsia" w:ascii="仿宋_GB2312" w:hAnsi="Times New Roman" w:eastAsia="仿宋_GB2312"/>
          <w:spacing w:val="-4"/>
          <w:sz w:val="32"/>
          <w:szCs w:val="32"/>
        </w:rPr>
        <w:t>1016.83</w:t>
      </w:r>
      <w:r>
        <w:rPr>
          <w:rFonts w:ascii="Times New Roman" w:hAnsi="Times New Roman" w:eastAsia="仿宋" w:cs="Times New Roman"/>
          <w:kern w:val="0"/>
          <w:sz w:val="32"/>
          <w:szCs w:val="32"/>
          <w:lang w:bidi="ar"/>
        </w:rPr>
        <w:t>万元。主要用于保障辖区内强制免疫“先打后补”、无疫小区和净化场创建、动物疫病专项监测流调、动物疫病防控等工作正常开展；对承担202</w:t>
      </w:r>
      <w:r>
        <w:rPr>
          <w:rFonts w:ascii="Times New Roman" w:hAnsi="Times New Roman" w:eastAsia="仿宋" w:cs="Times New Roman"/>
          <w:kern w:val="0"/>
          <w:sz w:val="32"/>
          <w:szCs w:val="32"/>
          <w:lang w:val="en-GB" w:bidi="ar"/>
        </w:rPr>
        <w:t>4</w:t>
      </w:r>
      <w:r>
        <w:rPr>
          <w:rFonts w:ascii="Times New Roman" w:hAnsi="Times New Roman" w:eastAsia="仿宋" w:cs="Times New Roman"/>
          <w:kern w:val="0"/>
          <w:sz w:val="32"/>
          <w:szCs w:val="32"/>
          <w:lang w:bidi="ar"/>
        </w:rPr>
        <w:t>年养殖环节病死猪无害化处理任务的企业和养殖场户据实补助；对202</w:t>
      </w:r>
      <w:r>
        <w:rPr>
          <w:rFonts w:ascii="Times New Roman" w:hAnsi="Times New Roman" w:eastAsia="仿宋" w:cs="Times New Roman"/>
          <w:kern w:val="0"/>
          <w:sz w:val="32"/>
          <w:szCs w:val="32"/>
          <w:lang w:val="en-GB" w:bidi="ar"/>
        </w:rPr>
        <w:t>4</w:t>
      </w:r>
      <w:r>
        <w:rPr>
          <w:rFonts w:ascii="Times New Roman" w:hAnsi="Times New Roman" w:eastAsia="仿宋" w:cs="Times New Roman"/>
          <w:kern w:val="0"/>
          <w:sz w:val="32"/>
          <w:szCs w:val="32"/>
          <w:lang w:bidi="ar"/>
        </w:rPr>
        <w:t>年因强制扑杀受损的养殖场（户）据实补助</w:t>
      </w:r>
      <w:r>
        <w:rPr>
          <w:rFonts w:hint="eastAsia" w:ascii="Times New Roman" w:hAnsi="Times New Roman" w:eastAsia="仿宋" w:cs="Times New Roman"/>
          <w:kern w:val="0"/>
          <w:sz w:val="32"/>
          <w:szCs w:val="32"/>
          <w:lang w:bidi="ar"/>
        </w:rPr>
        <w:t>。</w:t>
      </w:r>
    </w:p>
    <w:p>
      <w:pPr>
        <w:spacing w:line="530" w:lineRule="exact"/>
        <w:ind w:firstLine="640" w:firstLineChars="200"/>
        <w:rPr>
          <w:rFonts w:ascii="Times New Roman" w:hAnsi="Times New Roman" w:eastAsia="黑体" w:cs="Times New Roman"/>
          <w:kern w:val="0"/>
          <w:sz w:val="32"/>
          <w:szCs w:val="32"/>
          <w:lang w:bidi="ar"/>
        </w:rPr>
      </w:pPr>
      <w:r>
        <w:rPr>
          <w:rFonts w:hint="eastAsia" w:ascii="Times New Roman" w:hAnsi="Times New Roman" w:eastAsia="黑体" w:cs="Times New Roman"/>
          <w:kern w:val="0"/>
          <w:sz w:val="32"/>
          <w:szCs w:val="32"/>
          <w:lang w:bidi="ar"/>
        </w:rPr>
        <w:t>二</w:t>
      </w:r>
      <w:r>
        <w:rPr>
          <w:rFonts w:ascii="Times New Roman" w:hAnsi="Times New Roman" w:eastAsia="黑体" w:cs="Times New Roman"/>
          <w:kern w:val="0"/>
          <w:sz w:val="32"/>
          <w:szCs w:val="32"/>
          <w:lang w:bidi="ar"/>
        </w:rPr>
        <w:t>、工作目标</w:t>
      </w:r>
    </w:p>
    <w:p>
      <w:pPr>
        <w:widowControl/>
        <w:spacing w:line="530" w:lineRule="exact"/>
        <w:ind w:firstLine="640" w:firstLineChars="200"/>
        <w:rPr>
          <w:rFonts w:ascii="Times New Roman" w:hAnsi="Times New Roman" w:eastAsia="仿宋_GB2312" w:cs="Times New Roman"/>
          <w:kern w:val="0"/>
          <w:sz w:val="32"/>
          <w:szCs w:val="32"/>
          <w:lang w:bidi="ar"/>
        </w:rPr>
      </w:pPr>
      <w:r>
        <w:rPr>
          <w:rFonts w:ascii="Times New Roman" w:hAnsi="Times New Roman" w:eastAsia="仿宋_GB2312" w:cs="Times New Roman"/>
          <w:kern w:val="0"/>
          <w:sz w:val="32"/>
          <w:szCs w:val="32"/>
          <w:lang w:bidi="ar"/>
        </w:rPr>
        <w:t>2025年，</w:t>
      </w:r>
      <w:r>
        <w:rPr>
          <w:rFonts w:hint="eastAsia" w:ascii="Times New Roman" w:hAnsi="Times New Roman" w:eastAsia="仿宋_GB2312" w:cs="Times New Roman"/>
          <w:kern w:val="0"/>
          <w:sz w:val="32"/>
          <w:szCs w:val="32"/>
          <w:lang w:bidi="ar"/>
        </w:rPr>
        <w:t>区域内</w:t>
      </w:r>
      <w:r>
        <w:rPr>
          <w:rFonts w:ascii="Times New Roman" w:hAnsi="Times New Roman" w:eastAsia="仿宋_GB2312" w:cs="Times New Roman"/>
          <w:kern w:val="0"/>
          <w:sz w:val="32"/>
          <w:szCs w:val="32"/>
          <w:lang w:bidi="ar"/>
        </w:rPr>
        <w:t>春秋防抽查免疫抗体合格率达到70%以上，养殖场户免疫密度合格率90%以上。对2024年度因强制扑杀的动物，养殖环节无害化处理的病死猪进行补助。重大动物疫情应扑杀动物扑杀率、重大动物疫情依法处置率和及时报告率均达到100%，不发生因扑杀不及时造成重大动物疫情扩散和大规模随意抛弃病死猪事件，补助对象对项目实施政策满意度达到90%以上。</w:t>
      </w:r>
    </w:p>
    <w:p>
      <w:pPr>
        <w:spacing w:line="530" w:lineRule="exact"/>
        <w:ind w:firstLine="640" w:firstLineChars="200"/>
        <w:rPr>
          <w:rFonts w:ascii="Times New Roman" w:hAnsi="Times New Roman" w:eastAsia="黑体" w:cs="Times New Roman"/>
          <w:kern w:val="0"/>
          <w:sz w:val="32"/>
          <w:szCs w:val="32"/>
          <w:lang w:bidi="ar"/>
        </w:rPr>
      </w:pPr>
      <w:r>
        <w:rPr>
          <w:rFonts w:ascii="Times New Roman" w:hAnsi="Times New Roman" w:eastAsia="黑体" w:cs="Times New Roman"/>
          <w:kern w:val="0"/>
          <w:sz w:val="32"/>
          <w:szCs w:val="32"/>
          <w:lang w:bidi="ar"/>
        </w:rPr>
        <w:t>三、实施条件</w:t>
      </w:r>
    </w:p>
    <w:p>
      <w:pPr>
        <w:spacing w:line="530" w:lineRule="exact"/>
        <w:ind w:firstLine="642" w:firstLineChars="200"/>
        <w:rPr>
          <w:rFonts w:ascii="Times New Roman" w:hAnsi="Times New Roman" w:eastAsia="仿宋" w:cs="Times New Roman"/>
          <w:kern w:val="0"/>
          <w:sz w:val="32"/>
          <w:szCs w:val="32"/>
          <w:lang w:bidi="ar"/>
        </w:rPr>
      </w:pPr>
      <w:r>
        <w:rPr>
          <w:rFonts w:hint="eastAsia" w:ascii="楷体_GB2312" w:hAnsi="楷体_GB2312" w:eastAsia="楷体_GB2312" w:cs="楷体_GB2312"/>
          <w:b/>
          <w:bCs/>
          <w:kern w:val="0"/>
          <w:sz w:val="32"/>
          <w:szCs w:val="32"/>
          <w:lang w:bidi="ar"/>
        </w:rPr>
        <w:t>（一）强制免疫补助。</w:t>
      </w:r>
      <w:r>
        <w:rPr>
          <w:rFonts w:ascii="Times New Roman" w:hAnsi="Times New Roman" w:eastAsia="仿宋" w:cs="Times New Roman"/>
          <w:kern w:val="0"/>
          <w:sz w:val="32"/>
          <w:szCs w:val="32"/>
          <w:lang w:bidi="ar"/>
        </w:rPr>
        <w:t>根据《湖南省畜禽强制免疫“先打后补’实施方案》（湘农发〔2024〕96号）《2025年湖南省动物疫病强制免疫计划》《2025年湖南省动物疫病监测实施方案》等要求，主要用于我省强制免疫疫苗采购；支持市（州）、县（市、区）组织实施高致病性禽流感、小反刍兽疫、口蹄疫等动物疫病强制免疫注射、免疫效果监测评价、疫病监测和净化、人员防护等相关防控工作，对实施强制免疫计划和购买动物防疫服务等予以补助，包括政府购买动物防疫服务、养殖场（户）强制免疫“先打后补”、基层动物防疫员补助等。对存栏生猪500头以上、牛（奶牛）100头以上、羊 200只以上、存笼蛋（种）禽10000羽以上、肉禽20000羽以上的规模养殖场，自主采购强制免疫疫苗、自行申领补助资金，实施强制免疫“先打后补”。</w:t>
      </w:r>
    </w:p>
    <w:p>
      <w:pPr>
        <w:spacing w:line="530" w:lineRule="exact"/>
        <w:ind w:firstLine="642" w:firstLineChars="200"/>
        <w:rPr>
          <w:rFonts w:ascii="Times New Roman" w:hAnsi="Times New Roman" w:eastAsia="仿宋" w:cs="Times New Roman"/>
          <w:kern w:val="0"/>
          <w:sz w:val="32"/>
          <w:szCs w:val="32"/>
          <w:lang w:bidi="ar"/>
        </w:rPr>
      </w:pPr>
      <w:r>
        <w:rPr>
          <w:rFonts w:ascii="楷体_GB2312" w:hAnsi="楷体_GB2312" w:eastAsia="楷体_GB2312" w:cs="楷体_GB2312"/>
          <w:b/>
          <w:bCs/>
          <w:kern w:val="0"/>
          <w:sz w:val="32"/>
          <w:szCs w:val="32"/>
          <w:lang w:bidi="ar"/>
        </w:rPr>
        <w:t>（二）养殖环节无害化处理补助。</w:t>
      </w:r>
      <w:r>
        <w:rPr>
          <w:rFonts w:ascii="Times New Roman" w:hAnsi="Times New Roman" w:eastAsia="仿宋" w:cs="Times New Roman"/>
          <w:kern w:val="0"/>
          <w:sz w:val="32"/>
          <w:szCs w:val="32"/>
          <w:lang w:bidi="ar"/>
        </w:rPr>
        <w:t>根据《病死畜禽和病害畜禽产品无害化处理管理办法》（中华人民共和国农业农村部令2022年第3号）、《湖南省农业农村厅 湖南省财政厅关于进一步加强病死畜禽无害化处理工作的通知》（湘农联〔2021〕27号）按照“谁处理、补给谁”的原则，对承担养殖环节病死猪无害化处理任务的实施者给予补助。补助资金不得用于重大动物疫情扑杀畜禽、屠宰环节病死畜禽和病害畜禽产品无害化处理补助。</w:t>
      </w:r>
    </w:p>
    <w:p>
      <w:pPr>
        <w:spacing w:line="530" w:lineRule="exact"/>
        <w:ind w:firstLine="642" w:firstLineChars="200"/>
        <w:rPr>
          <w:rFonts w:ascii="Times New Roman" w:hAnsi="Times New Roman" w:eastAsia="仿宋" w:cs="Times New Roman"/>
          <w:kern w:val="0"/>
          <w:sz w:val="32"/>
          <w:szCs w:val="32"/>
          <w:lang w:bidi="ar"/>
        </w:rPr>
      </w:pPr>
      <w:r>
        <w:rPr>
          <w:rFonts w:ascii="楷体_GB2312" w:hAnsi="楷体_GB2312" w:eastAsia="楷体_GB2312" w:cs="楷体_GB2312"/>
          <w:b/>
          <w:bCs/>
          <w:kern w:val="0"/>
          <w:sz w:val="32"/>
          <w:szCs w:val="32"/>
          <w:lang w:bidi="ar"/>
        </w:rPr>
        <w:t>（三）强制扑杀补助。</w:t>
      </w:r>
      <w:r>
        <w:rPr>
          <w:rFonts w:ascii="Times New Roman" w:hAnsi="Times New Roman" w:eastAsia="仿宋" w:cs="Times New Roman"/>
          <w:kern w:val="0"/>
          <w:sz w:val="32"/>
          <w:szCs w:val="32"/>
          <w:lang w:bidi="ar"/>
        </w:rPr>
        <w:t>根据《农业农村部办公厅 财政部办公厅〈关于印发动物疫病防控财政支持政策实施指导意见〉的通知》（农办财〔2017〕35号）和《湖南省财政厅 湖南省农业农村厅湖南省水利厅关于印发〈湖南省中央农业防灾减灾和水利救灾资金管理实施细则〉》（湘财农〔2023〕63号）等要求，对各地在动物疫病预防、控制、净化、消灭过程中强制扑杀的动物所有者给予补偿。纳入补助范围的疫病种类包括非洲猪瘟、猪瘟、口蹄疫、高致病性禽流感、小反刍兽疫、布病等。</w:t>
      </w:r>
    </w:p>
    <w:p>
      <w:pPr>
        <w:spacing w:line="530" w:lineRule="exact"/>
        <w:ind w:firstLine="640" w:firstLineChars="200"/>
        <w:rPr>
          <w:rFonts w:ascii="Times New Roman" w:hAnsi="Times New Roman" w:eastAsia="仿宋" w:cs="Times New Roman"/>
          <w:kern w:val="0"/>
          <w:sz w:val="32"/>
          <w:szCs w:val="32"/>
          <w:lang w:bidi="ar"/>
        </w:rPr>
      </w:pPr>
      <w:r>
        <w:rPr>
          <w:rFonts w:hint="eastAsia" w:ascii="Times New Roman" w:hAnsi="Times New Roman" w:cs="Times New Roman"/>
          <w:kern w:val="0"/>
          <w:sz w:val="32"/>
          <w:szCs w:val="32"/>
          <w:lang w:bidi="ar"/>
        </w:rPr>
        <w:t>四</w:t>
      </w:r>
      <w:r>
        <w:rPr>
          <w:rFonts w:ascii="Times New Roman" w:hAnsi="Times New Roman" w:eastAsia="黑体" w:cs="Times New Roman"/>
          <w:kern w:val="0"/>
          <w:sz w:val="32"/>
          <w:szCs w:val="32"/>
          <w:lang w:bidi="ar"/>
        </w:rPr>
        <w:t>、支持对象</w:t>
      </w:r>
    </w:p>
    <w:p>
      <w:pPr>
        <w:spacing w:line="530" w:lineRule="exact"/>
        <w:ind w:firstLine="642" w:firstLineChars="200"/>
        <w:rPr>
          <w:rFonts w:ascii="Times New Roman" w:hAnsi="Times New Roman" w:eastAsia="仿宋" w:cs="Times New Roman"/>
          <w:kern w:val="0"/>
          <w:sz w:val="32"/>
          <w:szCs w:val="32"/>
          <w:lang w:bidi="ar"/>
        </w:rPr>
      </w:pPr>
      <w:r>
        <w:rPr>
          <w:rFonts w:hint="eastAsia" w:ascii="楷体_GB2312" w:hAnsi="楷体_GB2312" w:eastAsia="楷体_GB2312" w:cs="楷体_GB2312"/>
          <w:b/>
          <w:bCs/>
          <w:kern w:val="0"/>
          <w:sz w:val="32"/>
          <w:szCs w:val="32"/>
          <w:lang w:bidi="ar"/>
        </w:rPr>
        <w:t>（一）强制免疫补助。</w:t>
      </w:r>
      <w:r>
        <w:rPr>
          <w:rFonts w:ascii="Times New Roman" w:hAnsi="Times New Roman" w:eastAsia="仿宋" w:cs="Times New Roman"/>
          <w:kern w:val="0"/>
          <w:sz w:val="32"/>
          <w:szCs w:val="32"/>
          <w:lang w:bidi="ar"/>
        </w:rPr>
        <w:t>“先打后补”补助，支持符合条件、自行申领补助的的规模养殖场户。动物疫病净化，支持组织创建无疫小区和动物疫病净化的疫控机构、养殖企业。强制免疫劳务补助，支持进行免疫注射的村级动物防疫和社会化服务机构。动物疫病流调监测等其他强制免疫工作，支持承担相关具体工作相关机构。</w:t>
      </w:r>
    </w:p>
    <w:p>
      <w:pPr>
        <w:spacing w:line="530" w:lineRule="exact"/>
        <w:ind w:firstLine="642" w:firstLineChars="200"/>
        <w:rPr>
          <w:rFonts w:ascii="Times New Roman" w:hAnsi="Times New Roman" w:eastAsia="仿宋" w:cs="Times New Roman"/>
          <w:kern w:val="0"/>
          <w:sz w:val="32"/>
          <w:szCs w:val="32"/>
          <w:lang w:bidi="ar"/>
        </w:rPr>
      </w:pPr>
      <w:r>
        <w:rPr>
          <w:rFonts w:ascii="楷体_GB2312" w:hAnsi="楷体_GB2312" w:eastAsia="楷体_GB2312" w:cs="楷体_GB2312"/>
          <w:b/>
          <w:bCs/>
          <w:kern w:val="0"/>
          <w:sz w:val="32"/>
          <w:szCs w:val="32"/>
          <w:lang w:bidi="ar"/>
        </w:rPr>
        <w:t>（二）无害化处理补助。</w:t>
      </w:r>
      <w:r>
        <w:rPr>
          <w:rFonts w:ascii="Times New Roman" w:hAnsi="Times New Roman" w:eastAsia="仿宋" w:cs="Times New Roman"/>
          <w:kern w:val="0"/>
          <w:sz w:val="32"/>
          <w:szCs w:val="32"/>
          <w:lang w:bidi="ar"/>
        </w:rPr>
        <w:t>承担2024年度养殖环节病死猪无害化处理任务的实施者。</w:t>
      </w:r>
    </w:p>
    <w:p>
      <w:pPr>
        <w:spacing w:line="530" w:lineRule="exact"/>
        <w:ind w:firstLine="642" w:firstLineChars="200"/>
        <w:rPr>
          <w:rFonts w:ascii="Times New Roman" w:hAnsi="Times New Roman" w:eastAsia="仿宋" w:cs="Times New Roman"/>
          <w:kern w:val="0"/>
          <w:sz w:val="32"/>
          <w:szCs w:val="32"/>
          <w:lang w:bidi="ar"/>
        </w:rPr>
      </w:pPr>
      <w:r>
        <w:rPr>
          <w:rFonts w:ascii="楷体_GB2312" w:hAnsi="楷体_GB2312" w:eastAsia="楷体_GB2312" w:cs="楷体_GB2312"/>
          <w:b/>
          <w:bCs/>
          <w:kern w:val="0"/>
          <w:sz w:val="32"/>
          <w:szCs w:val="32"/>
          <w:lang w:bidi="ar"/>
        </w:rPr>
        <w:t>（三）强制扑杀补助。</w:t>
      </w:r>
      <w:r>
        <w:rPr>
          <w:rFonts w:ascii="Times New Roman" w:hAnsi="Times New Roman" w:eastAsia="仿宋" w:cs="Times New Roman"/>
          <w:kern w:val="0"/>
          <w:sz w:val="32"/>
          <w:szCs w:val="32"/>
          <w:lang w:bidi="ar"/>
        </w:rPr>
        <w:t>2024年3月1日至2025年2月28日被依法强制扑杀动物的所有者。</w:t>
      </w:r>
    </w:p>
    <w:p>
      <w:pPr>
        <w:widowControl/>
        <w:spacing w:line="530" w:lineRule="exact"/>
        <w:ind w:firstLine="640" w:firstLineChars="200"/>
        <w:rPr>
          <w:rFonts w:ascii="Times New Roman" w:hAnsi="Times New Roman" w:eastAsia="黑体" w:cs="Times New Roman"/>
          <w:kern w:val="0"/>
          <w:sz w:val="32"/>
          <w:szCs w:val="32"/>
          <w:lang w:bidi="ar"/>
        </w:rPr>
      </w:pPr>
      <w:r>
        <w:rPr>
          <w:rFonts w:hint="eastAsia" w:ascii="Times New Roman" w:hAnsi="Times New Roman" w:eastAsia="黑体" w:cs="Times New Roman"/>
          <w:kern w:val="0"/>
          <w:sz w:val="32"/>
          <w:szCs w:val="32"/>
          <w:lang w:bidi="ar"/>
        </w:rPr>
        <w:t>五</w:t>
      </w:r>
      <w:r>
        <w:rPr>
          <w:rFonts w:ascii="Times New Roman" w:hAnsi="Times New Roman" w:eastAsia="黑体" w:cs="Times New Roman"/>
          <w:kern w:val="0"/>
          <w:sz w:val="32"/>
          <w:szCs w:val="32"/>
          <w:lang w:bidi="ar"/>
        </w:rPr>
        <w:t>、严格资金管理</w:t>
      </w:r>
    </w:p>
    <w:p>
      <w:pPr>
        <w:spacing w:line="530" w:lineRule="exact"/>
        <w:ind w:firstLine="640" w:firstLineChars="200"/>
        <w:rPr>
          <w:rFonts w:ascii="Times New Roman" w:hAnsi="Times New Roman" w:eastAsia="仿宋" w:cs="Times New Roman"/>
          <w:kern w:val="0"/>
          <w:sz w:val="32"/>
          <w:szCs w:val="32"/>
          <w:lang w:bidi="ar"/>
        </w:rPr>
      </w:pPr>
      <w:r>
        <w:rPr>
          <w:rFonts w:ascii="Times New Roman" w:hAnsi="Times New Roman" w:eastAsia="仿宋" w:cs="Times New Roman"/>
          <w:kern w:val="0"/>
          <w:sz w:val="32"/>
          <w:szCs w:val="32"/>
          <w:lang w:bidi="ar"/>
        </w:rPr>
        <w:t>按照《财政部</w:t>
      </w:r>
      <w:r>
        <w:rPr>
          <w:rFonts w:hint="eastAsia" w:ascii="Times New Roman" w:hAnsi="Times New Roman" w:eastAsia="仿宋" w:cs="Times New Roman"/>
          <w:kern w:val="0"/>
          <w:sz w:val="32"/>
          <w:szCs w:val="32"/>
          <w:lang w:bidi="ar"/>
        </w:rPr>
        <w:t xml:space="preserve"> </w:t>
      </w:r>
      <w:r>
        <w:rPr>
          <w:rFonts w:ascii="Times New Roman" w:hAnsi="Times New Roman" w:eastAsia="仿宋" w:cs="Times New Roman"/>
          <w:kern w:val="0"/>
          <w:sz w:val="32"/>
          <w:szCs w:val="32"/>
          <w:lang w:bidi="ar"/>
        </w:rPr>
        <w:t>农业农村部 水利部关于印发</w:t>
      </w:r>
      <w:r>
        <w:rPr>
          <w:rFonts w:hint="eastAsia" w:ascii="Times New Roman" w:hAnsi="Times New Roman" w:eastAsia="仿宋" w:cs="Times New Roman"/>
          <w:kern w:val="0"/>
          <w:sz w:val="32"/>
          <w:szCs w:val="32"/>
          <w:lang w:bidi="ar"/>
        </w:rPr>
        <w:t>&lt;</w:t>
      </w:r>
      <w:r>
        <w:rPr>
          <w:rFonts w:ascii="Times New Roman" w:hAnsi="Times New Roman" w:eastAsia="仿宋" w:cs="Times New Roman"/>
          <w:kern w:val="0"/>
          <w:sz w:val="32"/>
          <w:szCs w:val="32"/>
          <w:lang w:bidi="ar"/>
        </w:rPr>
        <w:t>农业防灾减灾和水利救灾资金管理办法</w:t>
      </w:r>
      <w:r>
        <w:rPr>
          <w:rFonts w:hint="eastAsia" w:ascii="Times New Roman" w:hAnsi="Times New Roman" w:eastAsia="仿宋" w:cs="Times New Roman"/>
          <w:kern w:val="0"/>
          <w:sz w:val="32"/>
          <w:szCs w:val="32"/>
          <w:lang w:bidi="ar"/>
        </w:rPr>
        <w:t>&gt;</w:t>
      </w:r>
      <w:r>
        <w:rPr>
          <w:rFonts w:ascii="Times New Roman" w:hAnsi="Times New Roman" w:eastAsia="仿宋" w:cs="Times New Roman"/>
          <w:kern w:val="0"/>
          <w:sz w:val="32"/>
          <w:szCs w:val="32"/>
          <w:lang w:bidi="ar"/>
        </w:rPr>
        <w:t>的通知财农〔2023〕13号》、</w:t>
      </w:r>
      <w:r>
        <w:rPr>
          <w:rFonts w:hint="eastAsia" w:ascii="Times New Roman" w:hAnsi="Times New Roman" w:eastAsia="仿宋" w:cs="Times New Roman"/>
          <w:kern w:val="0"/>
          <w:sz w:val="32"/>
          <w:szCs w:val="32"/>
          <w:lang w:bidi="ar"/>
        </w:rPr>
        <w:t>《</w:t>
      </w:r>
      <w:r>
        <w:rPr>
          <w:rFonts w:ascii="Times New Roman" w:hAnsi="Times New Roman" w:eastAsia="仿宋" w:cs="Times New Roman"/>
          <w:kern w:val="0"/>
          <w:sz w:val="32"/>
          <w:szCs w:val="32"/>
          <w:lang w:bidi="ar"/>
        </w:rPr>
        <w:t>湖南省财政厅 湖南省水利厅</w:t>
      </w:r>
      <w:r>
        <w:rPr>
          <w:rFonts w:hint="eastAsia" w:ascii="Times New Roman" w:hAnsi="Times New Roman" w:eastAsia="仿宋" w:cs="Times New Roman"/>
          <w:kern w:val="0"/>
          <w:sz w:val="32"/>
          <w:szCs w:val="32"/>
          <w:lang w:bidi="ar"/>
        </w:rPr>
        <w:t xml:space="preserve"> </w:t>
      </w:r>
      <w:r>
        <w:rPr>
          <w:rFonts w:ascii="Times New Roman" w:hAnsi="Times New Roman" w:eastAsia="仿宋" w:cs="Times New Roman"/>
          <w:kern w:val="0"/>
          <w:sz w:val="32"/>
          <w:szCs w:val="32"/>
          <w:lang w:bidi="ar"/>
        </w:rPr>
        <w:t>湖省农业农村厅关于印发</w:t>
      </w:r>
      <w:r>
        <w:rPr>
          <w:rFonts w:hint="eastAsia" w:ascii="Times New Roman" w:hAnsi="Times New Roman" w:eastAsia="仿宋" w:cs="Times New Roman"/>
          <w:kern w:val="0"/>
          <w:sz w:val="32"/>
          <w:szCs w:val="32"/>
          <w:lang w:bidi="ar"/>
        </w:rPr>
        <w:t>&lt;</w:t>
      </w:r>
      <w:r>
        <w:rPr>
          <w:rFonts w:ascii="Times New Roman" w:hAnsi="Times New Roman" w:eastAsia="仿宋" w:cs="Times New Roman"/>
          <w:kern w:val="0"/>
          <w:sz w:val="32"/>
          <w:szCs w:val="32"/>
          <w:lang w:bidi="ar"/>
        </w:rPr>
        <w:t>湖南省中央农业防灾减灾和水利救灾资金管理实施细则</w:t>
      </w:r>
      <w:r>
        <w:rPr>
          <w:rFonts w:hint="eastAsia" w:ascii="Times New Roman" w:hAnsi="Times New Roman" w:eastAsia="仿宋" w:cs="Times New Roman"/>
          <w:kern w:val="0"/>
          <w:sz w:val="32"/>
          <w:szCs w:val="32"/>
          <w:lang w:bidi="ar"/>
        </w:rPr>
        <w:t>&gt;</w:t>
      </w:r>
      <w:r>
        <w:rPr>
          <w:rFonts w:ascii="Times New Roman" w:hAnsi="Times New Roman" w:eastAsia="仿宋" w:cs="Times New Roman"/>
          <w:kern w:val="0"/>
          <w:sz w:val="32"/>
          <w:szCs w:val="32"/>
          <w:lang w:bidi="ar"/>
        </w:rPr>
        <w:t>的通知</w:t>
      </w:r>
      <w:r>
        <w:rPr>
          <w:rFonts w:hint="eastAsia" w:ascii="Times New Roman" w:hAnsi="Times New Roman" w:eastAsia="仿宋" w:cs="Times New Roman"/>
          <w:kern w:val="0"/>
          <w:sz w:val="32"/>
          <w:szCs w:val="32"/>
          <w:lang w:bidi="ar"/>
        </w:rPr>
        <w:t>》</w:t>
      </w:r>
      <w:r>
        <w:rPr>
          <w:rFonts w:ascii="Times New Roman" w:hAnsi="Times New Roman" w:eastAsia="仿宋" w:cs="Times New Roman"/>
          <w:kern w:val="0"/>
          <w:sz w:val="32"/>
          <w:szCs w:val="32"/>
          <w:lang w:bidi="ar"/>
        </w:rPr>
        <w:t>（湘财农〔2023〕63号）</w:t>
      </w:r>
      <w:r>
        <w:rPr>
          <w:rFonts w:hint="eastAsia" w:ascii="Times New Roman" w:hAnsi="Times New Roman" w:eastAsia="仿宋" w:cs="Times New Roman"/>
          <w:kern w:val="0"/>
          <w:sz w:val="32"/>
          <w:szCs w:val="32"/>
          <w:lang w:bidi="ar"/>
        </w:rPr>
        <w:t>、《</w:t>
      </w:r>
      <w:r>
        <w:rPr>
          <w:rFonts w:ascii="Times New Roman" w:hAnsi="Times New Roman" w:eastAsia="仿宋" w:cs="Times New Roman"/>
          <w:kern w:val="0"/>
          <w:sz w:val="32"/>
          <w:szCs w:val="32"/>
          <w:lang w:bidi="ar"/>
        </w:rPr>
        <w:t>湖南省财政厅</w:t>
      </w:r>
      <w:r>
        <w:rPr>
          <w:rFonts w:hint="eastAsia" w:ascii="Times New Roman" w:hAnsi="Times New Roman" w:eastAsia="仿宋" w:cs="Times New Roman"/>
          <w:kern w:val="0"/>
          <w:sz w:val="32"/>
          <w:szCs w:val="32"/>
          <w:lang w:bidi="ar"/>
        </w:rPr>
        <w:t xml:space="preserve"> </w:t>
      </w:r>
      <w:r>
        <w:rPr>
          <w:rFonts w:ascii="Times New Roman" w:hAnsi="Times New Roman" w:eastAsia="仿宋" w:cs="Times New Roman"/>
          <w:kern w:val="0"/>
          <w:sz w:val="32"/>
          <w:szCs w:val="32"/>
          <w:lang w:bidi="ar"/>
        </w:rPr>
        <w:t>湖省农业农村厅</w:t>
      </w:r>
      <w:r>
        <w:rPr>
          <w:rFonts w:hint="eastAsia" w:ascii="Times New Roman" w:hAnsi="Times New Roman" w:eastAsia="仿宋" w:cs="Times New Roman"/>
          <w:kern w:val="0"/>
          <w:sz w:val="32"/>
          <w:szCs w:val="32"/>
          <w:lang w:bidi="ar"/>
        </w:rPr>
        <w:t>关于进一步加强病死畜禽无害化处理工作的通知》（湘农联〔2021〕27号）、《湖南省农业农村厅关于印&lt;湖南省畜禽强制免疫“先打后补’实施方案&gt;的通知》（湘农发〔2024〕96号）、《湖南省</w:t>
      </w:r>
      <w:r>
        <w:rPr>
          <w:rFonts w:ascii="Times New Roman" w:hAnsi="Times New Roman" w:eastAsia="仿宋" w:cs="Times New Roman"/>
          <w:kern w:val="0"/>
          <w:sz w:val="32"/>
          <w:szCs w:val="32"/>
          <w:lang w:bidi="ar"/>
        </w:rPr>
        <w:t>关于印发</w:t>
      </w:r>
      <w:r>
        <w:rPr>
          <w:rFonts w:hint="eastAsia" w:ascii="Times New Roman" w:hAnsi="Times New Roman" w:eastAsia="仿宋" w:cs="Times New Roman"/>
          <w:kern w:val="0"/>
          <w:sz w:val="32"/>
          <w:szCs w:val="32"/>
          <w:lang w:bidi="ar"/>
        </w:rPr>
        <w:t>&lt;</w:t>
      </w:r>
      <w:r>
        <w:rPr>
          <w:rFonts w:ascii="Times New Roman" w:hAnsi="Times New Roman" w:eastAsia="仿宋" w:cs="Times New Roman"/>
          <w:kern w:val="0"/>
          <w:sz w:val="32"/>
          <w:szCs w:val="32"/>
          <w:lang w:bidi="ar"/>
        </w:rPr>
        <w:t>湖南省2025年中央动物防疫补助资金实施方案</w:t>
      </w:r>
      <w:r>
        <w:rPr>
          <w:rFonts w:hint="eastAsia" w:ascii="Times New Roman" w:hAnsi="Times New Roman" w:eastAsia="仿宋" w:cs="Times New Roman"/>
          <w:kern w:val="0"/>
          <w:sz w:val="32"/>
          <w:szCs w:val="32"/>
          <w:lang w:bidi="ar"/>
        </w:rPr>
        <w:t>&gt;</w:t>
      </w:r>
      <w:r>
        <w:rPr>
          <w:rFonts w:ascii="Times New Roman" w:hAnsi="Times New Roman" w:eastAsia="仿宋" w:cs="Times New Roman"/>
          <w:kern w:val="0"/>
          <w:sz w:val="32"/>
          <w:szCs w:val="32"/>
          <w:lang w:bidi="ar"/>
        </w:rPr>
        <w:t>的通知</w:t>
      </w:r>
      <w:r>
        <w:rPr>
          <w:rFonts w:hint="eastAsia" w:ascii="Times New Roman" w:hAnsi="Times New Roman" w:eastAsia="仿宋" w:cs="Times New Roman"/>
          <w:kern w:val="0"/>
          <w:sz w:val="32"/>
          <w:szCs w:val="32"/>
          <w:lang w:bidi="ar"/>
        </w:rPr>
        <w:t>》等文件要求</w:t>
      </w:r>
      <w:r>
        <w:rPr>
          <w:rFonts w:ascii="Times New Roman" w:hAnsi="Times New Roman" w:eastAsia="仿宋" w:cs="Times New Roman"/>
          <w:kern w:val="0"/>
          <w:sz w:val="32"/>
          <w:szCs w:val="32"/>
          <w:lang w:bidi="ar"/>
        </w:rPr>
        <w:t>，</w:t>
      </w:r>
      <w:r>
        <w:rPr>
          <w:rFonts w:ascii="Times New Roman" w:hAnsi="Times New Roman" w:eastAsia="仿宋" w:cs="Times New Roman"/>
          <w:b/>
          <w:bCs/>
          <w:kern w:val="0"/>
          <w:sz w:val="32"/>
          <w:szCs w:val="32"/>
          <w:lang w:bidi="ar"/>
        </w:rPr>
        <w:t>一是</w:t>
      </w:r>
      <w:r>
        <w:rPr>
          <w:rFonts w:ascii="Times New Roman" w:hAnsi="Times New Roman" w:eastAsia="仿宋" w:cs="Times New Roman"/>
          <w:kern w:val="0"/>
          <w:sz w:val="32"/>
          <w:szCs w:val="32"/>
          <w:lang w:bidi="ar"/>
        </w:rPr>
        <w:t>严格执行财务制度，明确专人管理，实行专款专用，</w:t>
      </w:r>
      <w:r>
        <w:rPr>
          <w:rFonts w:ascii="Times New Roman" w:hAnsi="Times New Roman" w:eastAsia="仿宋_GB2312" w:cs="Times New Roman"/>
          <w:kern w:val="0"/>
          <w:sz w:val="32"/>
          <w:szCs w:val="32"/>
          <w:lang w:bidi="ar"/>
        </w:rPr>
        <w:t>按照各项工作任务完成进度，在省财政下达经费后及时将资金拨付相关单位、企业和个人</w:t>
      </w:r>
      <w:r>
        <w:rPr>
          <w:rFonts w:hint="eastAsia" w:ascii="Times New Roman" w:hAnsi="Times New Roman" w:eastAsia="仿宋_GB2312" w:cs="Times New Roman"/>
          <w:kern w:val="0"/>
          <w:sz w:val="32"/>
          <w:szCs w:val="32"/>
          <w:lang w:bidi="ar"/>
        </w:rPr>
        <w:t>；</w:t>
      </w:r>
      <w:r>
        <w:rPr>
          <w:rFonts w:ascii="Times New Roman" w:hAnsi="Times New Roman" w:eastAsia="仿宋" w:cs="Times New Roman"/>
          <w:kern w:val="0"/>
          <w:sz w:val="32"/>
          <w:szCs w:val="32"/>
          <w:lang w:bidi="ar"/>
        </w:rPr>
        <w:t>确保资金不滞留和挪用</w:t>
      </w:r>
      <w:r>
        <w:rPr>
          <w:rFonts w:hint="eastAsia" w:ascii="Times New Roman" w:hAnsi="Times New Roman" w:eastAsia="仿宋" w:cs="Times New Roman"/>
          <w:kern w:val="0"/>
          <w:sz w:val="32"/>
          <w:szCs w:val="32"/>
          <w:lang w:bidi="ar"/>
        </w:rPr>
        <w:t>；</w:t>
      </w:r>
      <w:r>
        <w:rPr>
          <w:rFonts w:ascii="Times New Roman" w:hAnsi="Times New Roman" w:eastAsia="仿宋" w:cs="Times New Roman"/>
          <w:b/>
          <w:bCs/>
          <w:kern w:val="0"/>
          <w:sz w:val="32"/>
          <w:szCs w:val="32"/>
          <w:lang w:bidi="ar"/>
        </w:rPr>
        <w:t>二是</w:t>
      </w:r>
      <w:r>
        <w:rPr>
          <w:rFonts w:ascii="Times New Roman" w:hAnsi="Times New Roman" w:eastAsia="仿宋" w:cs="Times New Roman"/>
          <w:kern w:val="0"/>
          <w:sz w:val="32"/>
          <w:szCs w:val="32"/>
          <w:lang w:bidi="ar"/>
        </w:rPr>
        <w:t>会同财政部门加强资金申请、分配、使用监督，</w:t>
      </w:r>
      <w:r>
        <w:rPr>
          <w:rFonts w:hint="eastAsia" w:ascii="Times New Roman" w:hAnsi="Times New Roman" w:eastAsia="仿宋" w:cs="Times New Roman"/>
          <w:kern w:val="0"/>
          <w:sz w:val="32"/>
          <w:szCs w:val="32"/>
          <w:lang w:bidi="ar"/>
        </w:rPr>
        <w:t>严格补助资金发放标准，</w:t>
      </w:r>
      <w:r>
        <w:rPr>
          <w:rFonts w:ascii="Times New Roman" w:hAnsi="Times New Roman" w:eastAsia="仿宋" w:cs="Times New Roman"/>
          <w:kern w:val="0"/>
          <w:sz w:val="32"/>
          <w:szCs w:val="32"/>
          <w:lang w:bidi="ar"/>
        </w:rPr>
        <w:t>强化支持对象资格条件审核，督促及时完成工作任务；</w:t>
      </w:r>
      <w:r>
        <w:rPr>
          <w:rFonts w:ascii="Times New Roman" w:hAnsi="Times New Roman" w:eastAsia="仿宋" w:cs="Times New Roman"/>
          <w:b/>
          <w:bCs/>
          <w:kern w:val="0"/>
          <w:sz w:val="32"/>
          <w:szCs w:val="32"/>
          <w:lang w:bidi="ar"/>
        </w:rPr>
        <w:t>三是</w:t>
      </w:r>
      <w:r>
        <w:rPr>
          <w:rFonts w:ascii="Times New Roman" w:hAnsi="Times New Roman" w:eastAsia="仿宋" w:cs="Times New Roman"/>
          <w:kern w:val="0"/>
          <w:sz w:val="32"/>
          <w:szCs w:val="32"/>
          <w:lang w:bidi="ar"/>
        </w:rPr>
        <w:t>严格落实信息公开制度，在部门官方网站公开资金分配结果，督促乡（镇）公示公告资金安排使用情况，接受群众和社会监督，及时处理群众咨询、反馈、举报问题；</w:t>
      </w:r>
      <w:r>
        <w:rPr>
          <w:rFonts w:ascii="Times New Roman" w:hAnsi="Times New Roman" w:eastAsia="仿宋" w:cs="Times New Roman"/>
          <w:b/>
          <w:bCs/>
          <w:kern w:val="0"/>
          <w:sz w:val="32"/>
          <w:szCs w:val="32"/>
          <w:lang w:bidi="ar"/>
        </w:rPr>
        <w:t>四是</w:t>
      </w:r>
      <w:r>
        <w:rPr>
          <w:rFonts w:ascii="Times New Roman" w:hAnsi="Times New Roman" w:eastAsia="仿宋" w:cs="Times New Roman"/>
          <w:kern w:val="0"/>
          <w:sz w:val="32"/>
          <w:szCs w:val="32"/>
          <w:lang w:bidi="ar"/>
        </w:rPr>
        <w:t>明确专人负责中央转移支付平台、湖南省农业农村厅资金项目监管平台、“一卡通”平台信息填报。</w:t>
      </w:r>
      <w:r>
        <w:rPr>
          <w:rFonts w:ascii="Times New Roman" w:hAnsi="Times New Roman" w:eastAsia="仿宋" w:cs="Times New Roman"/>
          <w:b/>
          <w:bCs/>
          <w:kern w:val="0"/>
          <w:sz w:val="32"/>
          <w:szCs w:val="32"/>
          <w:lang w:bidi="ar"/>
        </w:rPr>
        <w:t>五是</w:t>
      </w:r>
      <w:r>
        <w:rPr>
          <w:rFonts w:ascii="Times New Roman" w:hAnsi="Times New Roman" w:eastAsia="仿宋" w:cs="Times New Roman"/>
          <w:kern w:val="0"/>
          <w:sz w:val="32"/>
          <w:szCs w:val="32"/>
          <w:lang w:bidi="ar"/>
        </w:rPr>
        <w:t>会同财政部门按年度对绩效目标完成情况开展绩效评价，并按要求报送。</w:t>
      </w:r>
    </w:p>
    <w:p>
      <w:pPr>
        <w:spacing w:line="530" w:lineRule="exact"/>
        <w:ind w:firstLine="640" w:firstLineChars="200"/>
        <w:rPr>
          <w:rFonts w:ascii="Times New Roman" w:hAnsi="Times New Roman" w:eastAsia="仿宋" w:cs="Times New Roman"/>
          <w:kern w:val="0"/>
          <w:sz w:val="32"/>
          <w:szCs w:val="32"/>
          <w:lang w:bidi="ar"/>
        </w:rPr>
      </w:pPr>
    </w:p>
    <w:p>
      <w:pPr>
        <w:spacing w:line="530" w:lineRule="exact"/>
        <w:ind w:firstLine="640" w:firstLineChars="200"/>
        <w:rPr>
          <w:rFonts w:ascii="Times New Roman" w:hAnsi="Times New Roman" w:eastAsia="仿宋" w:cs="Times New Roman"/>
          <w:kern w:val="0"/>
          <w:sz w:val="32"/>
          <w:szCs w:val="32"/>
          <w:lang w:bidi="ar"/>
        </w:rPr>
      </w:pPr>
      <w:r>
        <w:rPr>
          <w:rFonts w:hint="eastAsia" w:ascii="Times New Roman" w:hAnsi="Times New Roman" w:eastAsia="仿宋" w:cs="Times New Roman"/>
          <w:kern w:val="0"/>
          <w:sz w:val="32"/>
          <w:szCs w:val="32"/>
          <w:lang w:bidi="ar"/>
        </w:rPr>
        <w:t>附表: 宁乡市2025年中央农业防灾减灾和水利救灾资金（动物防疫补助）资金安排表</w:t>
      </w:r>
    </w:p>
    <w:p>
      <w:pPr>
        <w:widowControl/>
        <w:jc w:val="left"/>
        <w:rPr>
          <w:rFonts w:ascii="Times New Roman" w:hAnsi="Times New Roman" w:eastAsia="仿宋" w:cs="Times New Roman"/>
          <w:kern w:val="0"/>
          <w:sz w:val="32"/>
          <w:szCs w:val="32"/>
          <w:lang w:bidi="ar"/>
        </w:rPr>
      </w:pPr>
      <w:r>
        <w:rPr>
          <w:rFonts w:ascii="Times New Roman" w:hAnsi="Times New Roman" w:eastAsia="仿宋" w:cs="Times New Roman"/>
          <w:kern w:val="0"/>
          <w:sz w:val="32"/>
          <w:szCs w:val="32"/>
          <w:lang w:bidi="ar"/>
        </w:rPr>
        <w:br w:type="page"/>
      </w:r>
    </w:p>
    <w:p>
      <w:pPr>
        <w:pStyle w:val="5"/>
        <w:spacing w:before="377" w:line="520" w:lineRule="exact"/>
        <w:ind w:left="0"/>
        <w:jc w:val="both"/>
        <w:rPr>
          <w:rFonts w:ascii="黑体" w:hAnsi="黑体" w:eastAsia="黑体"/>
          <w:spacing w:val="-8"/>
        </w:rPr>
      </w:pPr>
      <w:r>
        <w:rPr>
          <w:rFonts w:hint="eastAsia" w:ascii="黑体" w:hAnsi="黑体" w:eastAsia="黑体"/>
          <w:spacing w:val="-8"/>
        </w:rPr>
        <w:t>附表</w:t>
      </w:r>
    </w:p>
    <w:p>
      <w:pPr>
        <w:pStyle w:val="5"/>
        <w:spacing w:before="377" w:line="520" w:lineRule="exact"/>
        <w:ind w:left="0"/>
        <w:jc w:val="center"/>
        <w:rPr>
          <w:rFonts w:hint="eastAsia" w:ascii="方正小标宋简体" w:eastAsia="方正小标宋简体"/>
          <w:sz w:val="36"/>
          <w:szCs w:val="36"/>
        </w:rPr>
      </w:pPr>
      <w:r>
        <w:rPr>
          <w:rFonts w:hint="eastAsia" w:ascii="方正小标宋简体" w:eastAsia="方正小标宋简体"/>
          <w:sz w:val="36"/>
          <w:szCs w:val="36"/>
        </w:rPr>
        <w:t>宁乡市2025 年中央农业防灾减灾和水利救灾资金（动物防疫补助）</w:t>
      </w:r>
      <w:r>
        <w:rPr>
          <w:rFonts w:hint="eastAsia" w:ascii="方正小标宋简体" w:eastAsia="方正小标宋简体"/>
          <w:spacing w:val="-2"/>
          <w:sz w:val="36"/>
          <w:szCs w:val="36"/>
        </w:rPr>
        <w:t>资金安排表</w:t>
      </w:r>
    </w:p>
    <w:p>
      <w:pPr>
        <w:pStyle w:val="5"/>
        <w:spacing w:before="175" w:line="520" w:lineRule="exact"/>
        <w:ind w:left="0"/>
        <w:jc w:val="both"/>
        <w:rPr>
          <w:rFonts w:hint="eastAsia" w:ascii="仿宋_GB2312" w:eastAsia="仿宋_GB2312"/>
        </w:rPr>
      </w:pPr>
    </w:p>
    <w:tbl>
      <w:tblPr>
        <w:tblStyle w:val="17"/>
        <w:tblW w:w="8657" w:type="dxa"/>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59"/>
        <w:gridCol w:w="4049"/>
        <w:gridCol w:w="20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b/>
                <w:bCs/>
                <w:sz w:val="28"/>
                <w:szCs w:val="28"/>
                <w:lang w:eastAsia="en-US"/>
              </w:rPr>
            </w:pPr>
            <w:r>
              <w:rPr>
                <w:rFonts w:hint="eastAsia" w:ascii="仿宋_GB2312" w:eastAsia="仿宋_GB2312"/>
                <w:b/>
                <w:bCs/>
                <w:sz w:val="28"/>
                <w:szCs w:val="28"/>
                <w:lang w:eastAsia="en-US"/>
              </w:rPr>
              <w:t>资金项目名称</w:t>
            </w:r>
          </w:p>
        </w:tc>
        <w:tc>
          <w:tcPr>
            <w:tcW w:w="4049" w:type="dxa"/>
            <w:vAlign w:val="center"/>
          </w:tcPr>
          <w:p>
            <w:pPr>
              <w:autoSpaceDE w:val="0"/>
              <w:autoSpaceDN w:val="0"/>
              <w:spacing w:line="360" w:lineRule="exact"/>
              <w:jc w:val="center"/>
              <w:rPr>
                <w:rFonts w:hint="eastAsia" w:ascii="仿宋_GB2312" w:eastAsia="仿宋_GB2312"/>
                <w:b/>
                <w:bCs/>
                <w:sz w:val="28"/>
                <w:szCs w:val="28"/>
                <w:lang w:eastAsia="en-US"/>
              </w:rPr>
            </w:pPr>
            <w:r>
              <w:rPr>
                <w:rFonts w:hint="eastAsia" w:ascii="仿宋_GB2312" w:eastAsia="仿宋_GB2312"/>
                <w:b/>
                <w:bCs/>
                <w:sz w:val="28"/>
                <w:szCs w:val="28"/>
                <w:lang w:eastAsia="en-US"/>
              </w:rPr>
              <w:t>支持对象名称</w:t>
            </w:r>
          </w:p>
        </w:tc>
        <w:tc>
          <w:tcPr>
            <w:tcW w:w="2049" w:type="dxa"/>
            <w:vAlign w:val="center"/>
          </w:tcPr>
          <w:p>
            <w:pPr>
              <w:autoSpaceDE w:val="0"/>
              <w:autoSpaceDN w:val="0"/>
              <w:spacing w:line="360" w:lineRule="exact"/>
              <w:jc w:val="center"/>
              <w:rPr>
                <w:rFonts w:hint="eastAsia" w:ascii="仿宋_GB2312" w:eastAsia="仿宋_GB2312"/>
                <w:b/>
                <w:bCs/>
                <w:sz w:val="28"/>
                <w:szCs w:val="28"/>
                <w:lang w:eastAsia="en-US"/>
              </w:rPr>
            </w:pPr>
            <w:r>
              <w:rPr>
                <w:rFonts w:hint="eastAsia" w:ascii="仿宋_GB2312" w:eastAsia="仿宋_GB2312"/>
                <w:b/>
                <w:bCs/>
                <w:sz w:val="28"/>
                <w:szCs w:val="28"/>
                <w:lang w:eastAsia="en-US"/>
              </w:rPr>
              <w:t>金额（万元）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强制免疫劳务补助</w:t>
            </w:r>
          </w:p>
        </w:tc>
        <w:tc>
          <w:tcPr>
            <w:tcW w:w="4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编制外的动物防疫人员</w:t>
            </w:r>
          </w:p>
        </w:tc>
        <w:tc>
          <w:tcPr>
            <w:tcW w:w="2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119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先打后补</w:t>
            </w:r>
          </w:p>
        </w:tc>
        <w:tc>
          <w:tcPr>
            <w:tcW w:w="4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相关养殖企业</w:t>
            </w:r>
          </w:p>
        </w:tc>
        <w:tc>
          <w:tcPr>
            <w:tcW w:w="2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210.58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疫情测报站</w:t>
            </w:r>
          </w:p>
        </w:tc>
        <w:tc>
          <w:tcPr>
            <w:tcW w:w="4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承担任务的乡镇人民政府</w:t>
            </w:r>
          </w:p>
        </w:tc>
        <w:tc>
          <w:tcPr>
            <w:tcW w:w="2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16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养殖环节病死猪无害化补助</w:t>
            </w:r>
          </w:p>
        </w:tc>
        <w:tc>
          <w:tcPr>
            <w:tcW w:w="4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相关无害化处理企业</w:t>
            </w:r>
          </w:p>
        </w:tc>
        <w:tc>
          <w:tcPr>
            <w:tcW w:w="2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334.24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强制扑杀补助</w:t>
            </w:r>
          </w:p>
        </w:tc>
        <w:tc>
          <w:tcPr>
            <w:tcW w:w="4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相关养殖户</w:t>
            </w:r>
          </w:p>
        </w:tc>
        <w:tc>
          <w:tcPr>
            <w:tcW w:w="2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0.54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布病区域防控</w:t>
            </w:r>
          </w:p>
        </w:tc>
        <w:tc>
          <w:tcPr>
            <w:tcW w:w="4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畜牧水产事务中心、动物疫病预防控制中心、乡镇人民政府</w:t>
            </w:r>
          </w:p>
        </w:tc>
        <w:tc>
          <w:tcPr>
            <w:tcW w:w="2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143.09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动物疫病净化</w:t>
            </w:r>
          </w:p>
        </w:tc>
        <w:tc>
          <w:tcPr>
            <w:tcW w:w="4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畜牧水产事务中心、动物疫病预</w:t>
            </w:r>
          </w:p>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防控制中心、相关养殖企业</w:t>
            </w:r>
          </w:p>
        </w:tc>
        <w:tc>
          <w:tcPr>
            <w:tcW w:w="2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100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动物疫情监测</w:t>
            </w:r>
          </w:p>
        </w:tc>
        <w:tc>
          <w:tcPr>
            <w:tcW w:w="4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动物疫病预防控制中心</w:t>
            </w:r>
          </w:p>
        </w:tc>
        <w:tc>
          <w:tcPr>
            <w:tcW w:w="2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3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其他强制免疫</w:t>
            </w:r>
          </w:p>
        </w:tc>
        <w:tc>
          <w:tcPr>
            <w:tcW w:w="4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畜牧水产事务中心、动物疫病预防控制中心</w:t>
            </w:r>
          </w:p>
        </w:tc>
        <w:tc>
          <w:tcPr>
            <w:tcW w:w="2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90.38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55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合计</w:t>
            </w:r>
          </w:p>
        </w:tc>
        <w:tc>
          <w:tcPr>
            <w:tcW w:w="4049" w:type="dxa"/>
            <w:vAlign w:val="center"/>
          </w:tcPr>
          <w:p>
            <w:pPr>
              <w:autoSpaceDE w:val="0"/>
              <w:autoSpaceDN w:val="0"/>
              <w:spacing w:line="360" w:lineRule="exact"/>
              <w:jc w:val="center"/>
              <w:rPr>
                <w:rFonts w:hint="eastAsia" w:ascii="仿宋_GB2312" w:eastAsia="仿宋_GB2312"/>
                <w:sz w:val="28"/>
                <w:szCs w:val="28"/>
                <w:lang w:eastAsia="en-US"/>
              </w:rPr>
            </w:pPr>
          </w:p>
        </w:tc>
        <w:tc>
          <w:tcPr>
            <w:tcW w:w="2049" w:type="dxa"/>
            <w:vAlign w:val="center"/>
          </w:tcPr>
          <w:p>
            <w:pPr>
              <w:autoSpaceDE w:val="0"/>
              <w:autoSpaceDN w:val="0"/>
              <w:spacing w:line="360" w:lineRule="exact"/>
              <w:jc w:val="center"/>
              <w:rPr>
                <w:rFonts w:hint="eastAsia" w:ascii="仿宋_GB2312" w:eastAsia="仿宋_GB2312"/>
                <w:sz w:val="28"/>
                <w:szCs w:val="28"/>
                <w:lang w:eastAsia="en-US"/>
              </w:rPr>
            </w:pPr>
            <w:r>
              <w:rPr>
                <w:rFonts w:hint="eastAsia" w:ascii="仿宋_GB2312" w:eastAsia="仿宋_GB2312"/>
                <w:sz w:val="28"/>
                <w:szCs w:val="28"/>
                <w:lang w:eastAsia="en-US"/>
              </w:rPr>
              <w:t>1016.83 万元</w:t>
            </w:r>
          </w:p>
        </w:tc>
      </w:tr>
    </w:tbl>
    <w:p>
      <w:pPr>
        <w:widowControl/>
        <w:spacing w:line="530" w:lineRule="exact"/>
        <w:ind w:firstLine="640" w:firstLineChars="200"/>
        <w:jc w:val="right"/>
        <w:rPr>
          <w:rFonts w:hint="eastAsia" w:ascii="黑体" w:hAnsi="黑体" w:eastAsia="黑体" w:cs="黑体"/>
          <w:sz w:val="32"/>
          <w:szCs w:val="32"/>
        </w:rPr>
      </w:pPr>
    </w:p>
    <w:p>
      <w:pPr>
        <w:widowControl/>
        <w:jc w:val="left"/>
        <w:rPr>
          <w:rFonts w:hint="eastAsia" w:ascii="黑体" w:hAnsi="黑体" w:eastAsia="黑体" w:cs="黑体"/>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0000019F" w:csb1="00000000"/>
  </w:font>
  <w:font w:name="FreeSerif">
    <w:panose1 w:val="02020603050405020304"/>
    <w:charset w:val="00"/>
    <w:family w:val="auto"/>
    <w:pitch w:val="default"/>
    <w:sig w:usb0="E59FAFFF" w:usb1="C200FDFF" w:usb2="43501B29" w:usb3="04000043" w:csb0="600101FF" w:csb1="FFFF0000"/>
  </w:font>
  <w:font w:name="仿宋_GB2312">
    <w:panose1 w:val="02010609030101010101"/>
    <w:charset w:val="86"/>
    <w:family w:val="modern"/>
    <w:pitch w:val="default"/>
    <w:sig w:usb0="00000001" w:usb1="080E0000" w:usb2="00000000" w:usb3="00000000" w:csb0="00040000" w:csb1="00000000"/>
  </w:font>
  <w:font w:name="C059">
    <w:panose1 w:val="00000500000000000000"/>
    <w:charset w:val="00"/>
    <w:family w:val="auto"/>
    <w:pitch w:val="default"/>
    <w:sig w:usb0="00000287" w:usb1="00000800" w:usb2="00000000" w:usb3="00000000" w:csb0="6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42B"/>
    <w:rsid w:val="00097B48"/>
    <w:rsid w:val="004A4DAF"/>
    <w:rsid w:val="004B3800"/>
    <w:rsid w:val="004D2143"/>
    <w:rsid w:val="004D48D4"/>
    <w:rsid w:val="00541DF7"/>
    <w:rsid w:val="005735A3"/>
    <w:rsid w:val="00726B6B"/>
    <w:rsid w:val="007D11F1"/>
    <w:rsid w:val="0084520B"/>
    <w:rsid w:val="0094242B"/>
    <w:rsid w:val="00A32CFC"/>
    <w:rsid w:val="00A66C94"/>
    <w:rsid w:val="00B06AB1"/>
    <w:rsid w:val="00B71F65"/>
    <w:rsid w:val="00BA04B6"/>
    <w:rsid w:val="00D1435B"/>
    <w:rsid w:val="00D9100B"/>
    <w:rsid w:val="00E43ABF"/>
    <w:rsid w:val="00FC3FF3"/>
    <w:rsid w:val="032756C1"/>
    <w:rsid w:val="03C83CA0"/>
    <w:rsid w:val="03DB0660"/>
    <w:rsid w:val="050D65F7"/>
    <w:rsid w:val="09CF12B2"/>
    <w:rsid w:val="09D678FF"/>
    <w:rsid w:val="0A1B17B6"/>
    <w:rsid w:val="0A36214C"/>
    <w:rsid w:val="0D8A6098"/>
    <w:rsid w:val="0EF379BC"/>
    <w:rsid w:val="0FC1070A"/>
    <w:rsid w:val="11577442"/>
    <w:rsid w:val="128679E9"/>
    <w:rsid w:val="135B70C7"/>
    <w:rsid w:val="13DF358E"/>
    <w:rsid w:val="14B00D4D"/>
    <w:rsid w:val="160B3D63"/>
    <w:rsid w:val="189B4AAF"/>
    <w:rsid w:val="18EE0096"/>
    <w:rsid w:val="1AA729ED"/>
    <w:rsid w:val="1B397CEE"/>
    <w:rsid w:val="1B446693"/>
    <w:rsid w:val="1CE26164"/>
    <w:rsid w:val="1F62533A"/>
    <w:rsid w:val="1FDB5818"/>
    <w:rsid w:val="20337402"/>
    <w:rsid w:val="208539D6"/>
    <w:rsid w:val="23515DF1"/>
    <w:rsid w:val="24AA57B9"/>
    <w:rsid w:val="256040C9"/>
    <w:rsid w:val="26282DDE"/>
    <w:rsid w:val="262B46D7"/>
    <w:rsid w:val="26990FFA"/>
    <w:rsid w:val="2A21651D"/>
    <w:rsid w:val="2AAA4765"/>
    <w:rsid w:val="2DF06E9C"/>
    <w:rsid w:val="30420F9B"/>
    <w:rsid w:val="30C36E11"/>
    <w:rsid w:val="31827753"/>
    <w:rsid w:val="31F6203D"/>
    <w:rsid w:val="31FA45DA"/>
    <w:rsid w:val="33792F26"/>
    <w:rsid w:val="33EC7B9C"/>
    <w:rsid w:val="35B71A6F"/>
    <w:rsid w:val="36354F31"/>
    <w:rsid w:val="38507FCD"/>
    <w:rsid w:val="38D66725"/>
    <w:rsid w:val="3A8328DC"/>
    <w:rsid w:val="3DD07BE6"/>
    <w:rsid w:val="3E375EB7"/>
    <w:rsid w:val="3F0B4C4E"/>
    <w:rsid w:val="410A78B3"/>
    <w:rsid w:val="437454B8"/>
    <w:rsid w:val="441822E7"/>
    <w:rsid w:val="443E6CFE"/>
    <w:rsid w:val="45F10328"/>
    <w:rsid w:val="460E12FA"/>
    <w:rsid w:val="4665335B"/>
    <w:rsid w:val="4992009A"/>
    <w:rsid w:val="4A9236B3"/>
    <w:rsid w:val="4AB6250D"/>
    <w:rsid w:val="4C207F8B"/>
    <w:rsid w:val="4CFB57F7"/>
    <w:rsid w:val="4E915170"/>
    <w:rsid w:val="519D69DA"/>
    <w:rsid w:val="54C0055D"/>
    <w:rsid w:val="569954A2"/>
    <w:rsid w:val="57964BA5"/>
    <w:rsid w:val="57B75187"/>
    <w:rsid w:val="5A0431D3"/>
    <w:rsid w:val="5B7265EB"/>
    <w:rsid w:val="601856F1"/>
    <w:rsid w:val="612726B6"/>
    <w:rsid w:val="6220088D"/>
    <w:rsid w:val="650718C2"/>
    <w:rsid w:val="66A31A8D"/>
    <w:rsid w:val="66CA5070"/>
    <w:rsid w:val="697119CE"/>
    <w:rsid w:val="6A6D1B22"/>
    <w:rsid w:val="6ABA55F7"/>
    <w:rsid w:val="6B4F21E3"/>
    <w:rsid w:val="6C4E30BD"/>
    <w:rsid w:val="6CE63F9D"/>
    <w:rsid w:val="6EA12D56"/>
    <w:rsid w:val="702E0619"/>
    <w:rsid w:val="70862203"/>
    <w:rsid w:val="708F6BDE"/>
    <w:rsid w:val="70CD7E32"/>
    <w:rsid w:val="745148D6"/>
    <w:rsid w:val="78160310"/>
    <w:rsid w:val="79B24069"/>
    <w:rsid w:val="7BA23C69"/>
    <w:rsid w:val="7E8C18F4"/>
    <w:rsid w:val="7F1906E6"/>
    <w:rsid w:val="7FAF2DF8"/>
    <w:rsid w:val="97F37D3F"/>
    <w:rsid w:val="FDF78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spacing w:line="700" w:lineRule="exact"/>
      <w:jc w:val="center"/>
      <w:outlineLvl w:val="0"/>
    </w:pPr>
    <w:rPr>
      <w:rFonts w:ascii="Times New Roman" w:hAnsi="Times New Roman" w:eastAsia="方正小标宋简体"/>
      <w:bCs/>
      <w:kern w:val="44"/>
      <w:sz w:val="44"/>
      <w:szCs w:val="44"/>
    </w:rPr>
  </w:style>
  <w:style w:type="paragraph" w:styleId="3">
    <w:name w:val="heading 2"/>
    <w:basedOn w:val="1"/>
    <w:next w:val="1"/>
    <w:qFormat/>
    <w:uiPriority w:val="0"/>
    <w:pPr>
      <w:outlineLvl w:val="1"/>
    </w:pPr>
    <w:rPr>
      <w:rFonts w:ascii="Times New Roman" w:hAnsi="Times New Roman" w:eastAsia="黑体"/>
      <w:bCs/>
      <w:szCs w:val="32"/>
    </w:rPr>
  </w:style>
  <w:style w:type="paragraph" w:styleId="4">
    <w:name w:val="heading 3"/>
    <w:basedOn w:val="1"/>
    <w:next w:val="1"/>
    <w:link w:val="14"/>
    <w:qFormat/>
    <w:uiPriority w:val="0"/>
    <w:pPr>
      <w:outlineLvl w:val="2"/>
    </w:pPr>
    <w:rPr>
      <w:rFonts w:ascii="Times New Roman" w:hAnsi="Times New Roman" w:eastAsia="楷体_GB2312"/>
      <w:b/>
      <w:bCs/>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18"/>
    <w:qFormat/>
    <w:uiPriority w:val="1"/>
    <w:pPr>
      <w:autoSpaceDE w:val="0"/>
      <w:autoSpaceDN w:val="0"/>
      <w:spacing w:before="114"/>
      <w:ind w:left="106"/>
      <w:jc w:val="left"/>
    </w:pPr>
    <w:rPr>
      <w:rFonts w:ascii="仿宋" w:hAnsi="仿宋" w:eastAsia="仿宋" w:cs="仿宋"/>
      <w:kern w:val="0"/>
      <w:sz w:val="32"/>
      <w:szCs w:val="32"/>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tabs>
        <w:tab w:val="center" w:pos="4153"/>
        <w:tab w:val="right" w:pos="8306"/>
      </w:tabs>
      <w:snapToGrid w:val="0"/>
      <w:jc w:val="center"/>
    </w:pPr>
    <w:rPr>
      <w:sz w:val="18"/>
      <w:szCs w:val="18"/>
    </w:rPr>
  </w:style>
  <w:style w:type="paragraph" w:styleId="8">
    <w:name w:val="Title"/>
    <w:basedOn w:val="1"/>
    <w:qFormat/>
    <w:uiPriority w:val="0"/>
    <w:pPr>
      <w:spacing w:line="700" w:lineRule="exact"/>
      <w:jc w:val="center"/>
      <w:outlineLvl w:val="0"/>
    </w:pPr>
    <w:rPr>
      <w:rFonts w:ascii="Cambria" w:hAnsi="Cambria" w:eastAsia="方正小标宋简体" w:cs="Times New Roman"/>
      <w:b/>
      <w:bCs/>
      <w:sz w:val="44"/>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41"/>
    <w:basedOn w:val="11"/>
    <w:qFormat/>
    <w:uiPriority w:val="0"/>
    <w:rPr>
      <w:rFonts w:hint="eastAsia" w:ascii="宋体" w:hAnsi="宋体" w:eastAsia="宋体" w:cs="宋体"/>
      <w:color w:val="000000"/>
      <w:sz w:val="24"/>
      <w:szCs w:val="24"/>
      <w:u w:val="none"/>
    </w:rPr>
  </w:style>
  <w:style w:type="character" w:customStyle="1" w:styleId="13">
    <w:name w:val="font51"/>
    <w:basedOn w:val="11"/>
    <w:qFormat/>
    <w:uiPriority w:val="0"/>
    <w:rPr>
      <w:rFonts w:hint="default" w:ascii="Times New Roman" w:hAnsi="Times New Roman" w:cs="Times New Roman"/>
      <w:color w:val="000000"/>
      <w:sz w:val="24"/>
      <w:szCs w:val="24"/>
      <w:u w:val="none"/>
    </w:rPr>
  </w:style>
  <w:style w:type="character" w:customStyle="1" w:styleId="14">
    <w:name w:val="标题 3 字符"/>
    <w:link w:val="4"/>
    <w:qFormat/>
    <w:uiPriority w:val="0"/>
    <w:rPr>
      <w:rFonts w:ascii="Times New Roman" w:hAnsi="Times New Roman" w:eastAsia="楷体_GB2312"/>
      <w:b/>
      <w:bCs/>
      <w:szCs w:val="32"/>
    </w:rPr>
  </w:style>
  <w:style w:type="character" w:customStyle="1" w:styleId="15">
    <w:name w:val="页眉 字符"/>
    <w:basedOn w:val="11"/>
    <w:link w:val="7"/>
    <w:qFormat/>
    <w:uiPriority w:val="0"/>
    <w:rPr>
      <w:rFonts w:asciiTheme="minorHAnsi" w:hAnsiTheme="minorHAnsi" w:eastAsiaTheme="minorEastAsia" w:cstheme="minorBidi"/>
      <w:kern w:val="2"/>
      <w:sz w:val="18"/>
      <w:szCs w:val="18"/>
    </w:rPr>
  </w:style>
  <w:style w:type="character" w:customStyle="1" w:styleId="16">
    <w:name w:val="页脚 字符"/>
    <w:basedOn w:val="11"/>
    <w:link w:val="6"/>
    <w:qFormat/>
    <w:uiPriority w:val="0"/>
    <w:rPr>
      <w:rFonts w:asciiTheme="minorHAnsi" w:hAnsiTheme="minorHAnsi" w:eastAsiaTheme="minorEastAsia" w:cstheme="minorBidi"/>
      <w:kern w:val="2"/>
      <w:sz w:val="18"/>
      <w:szCs w:val="18"/>
    </w:rPr>
  </w:style>
  <w:style w:type="table" w:customStyle="1" w:styleId="17">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character" w:customStyle="1" w:styleId="18">
    <w:name w:val="正文文本 字符"/>
    <w:basedOn w:val="11"/>
    <w:link w:val="5"/>
    <w:qFormat/>
    <w:uiPriority w:val="1"/>
    <w:rPr>
      <w:rFonts w:ascii="仿宋" w:hAnsi="仿宋" w:eastAsia="仿宋" w:cs="仿宋"/>
      <w:sz w:val="32"/>
      <w:szCs w:val="32"/>
    </w:rPr>
  </w:style>
  <w:style w:type="paragraph" w:customStyle="1" w:styleId="19">
    <w:name w:val="Table Paragraph"/>
    <w:basedOn w:val="1"/>
    <w:qFormat/>
    <w:uiPriority w:val="1"/>
    <w:pPr>
      <w:autoSpaceDE w:val="0"/>
      <w:autoSpaceDN w:val="0"/>
      <w:spacing w:before="177"/>
      <w:ind w:left="107"/>
      <w:jc w:val="left"/>
    </w:pPr>
    <w:rPr>
      <w:rFonts w:ascii="宋体" w:hAnsi="宋体" w:eastAsia="宋体" w:cs="宋体"/>
      <w:kern w:val="0"/>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778</Words>
  <Characters>4439</Characters>
  <Lines>36</Lines>
  <Paragraphs>10</Paragraphs>
  <TotalTime>23</TotalTime>
  <ScaleCrop>false</ScaleCrop>
  <LinksUpToDate>false</LinksUpToDate>
  <CharactersWithSpaces>5207</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2025-04-23T19:20:00Z</dcterms:created>
  <dc:creator>Administrator</dc:creator>
  <cp:lastModifiedBy>我可能是个假人</cp:lastModifiedBy>
  <dcterms:modified xsi:type="dcterms:W3CDTF">2025-10-16T15:17:21Z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KSOTemplateDocerSaveRecord">
    <vt:lpwstr>eyJoZGlkIjoiZWMxZTMzZDdiNzc5ZjM5OWJjOTBmMGRkMjZkMDk1MWEiLCJ1c2VySWQiOiI0NjA2OTY4NjcifQ==</vt:lpwstr>
  </property>
  <property fmtid="{D5CDD505-2E9C-101B-9397-08002B2CF9AE}" pid="4" name="ICV">
    <vt:lpwstr>B53910B8A0EA3EBA019CF06842D27DB0</vt:lpwstr>
  </property>
</Properties>
</file>