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年度部门整体支出绩效评价报告</w:t>
      </w:r>
    </w:p>
    <w:p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FF0000"/>
          <w:kern w:val="0"/>
          <w:sz w:val="44"/>
          <w:szCs w:val="44"/>
        </w:rPr>
      </w:pP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一、部门概况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（一）部门基本情况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1.机构设置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我单位为全额拨款的行政单位，单位内设办公室、政工室、执法监督科、综治督导科、维稳指导科、反邪教协调科5个科室，下设网格中心副科级事业单位。202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年末实有在职在编干部职工4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人，临聘人员1人，退休11人。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2.职能职责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党的路线、方针、政策和中央、省、市、宁乡市党委的部署，统一政法各部门的思想和行动；对全市政法工作做出全局性部署，并督促贯彻落实，组织和指导全市政法部门的领导班子建设和政法干部队伍建设；协助市委及组织部门考察、管理政法部门的领导干部；组织、协调和指导全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平安建设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工作，检查督促全市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平安建设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各项措施和工作任务的落实；组织、协调和指导全市维护社会稳定工作；检查政法部门执行法律法规和党的路线方针政策的情况，研究制定完善严肃执法、落实党的方针政策的具体措施；支持和监督政法各部门各负其责，密切配合，严格执法，秉公办案；组织研究和协调有争议的重大疑难案件，督促和推动大案要案的查处工作，负责对政法部门执法监督工作的党内监督；组织推动政法战线的调查研究工作，针对政法工作出现的新情况、新问题，提出对策；指导检查乡镇（街道）及各部门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平安建设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工作；办理省、长沙市党委政法委、宁乡市委及市委领导交办的其他工作。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3.取得的主要事业成效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圆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满完成了重要时间节点、重大活动、</w:t>
      </w:r>
      <w:bookmarkStart w:id="0" w:name="_GoBack"/>
      <w:bookmarkEnd w:id="0"/>
      <w:r>
        <w:rPr>
          <w:rFonts w:hint="eastAsia" w:eastAsia="仿宋_GB2312" w:cs="Times New Roman"/>
          <w:sz w:val="32"/>
          <w:szCs w:val="32"/>
          <w:shd w:val="clear" w:color="auto" w:fill="FFFFFF"/>
          <w:lang w:eastAsia="zh-CN"/>
        </w:rPr>
        <w:t>全国两会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建党100周年、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党的十九届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六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FFFFFF"/>
        </w:rPr>
        <w:t>中全会期间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的各项安保维稳任务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社会大局和谐稳定。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全面夯实平安建设基础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持续深入开展“十大平安”创建，凝聚全市平安共建共创合力，同时开展形式多样的平安建设宣传，提高群众平安建设参与意识。深入推进“两化三中心”建设（综治中心规范化、网格服务管理标准化、网格服务管理中心与综治中心、应急指挥中心等一体化运行），以一点一线平安，构建全市大局平安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面推进社会治理创新。积极探索社会治理模式，“三线三治三情”诉前调解纠纷机制、社会矛盾纠纷多元化解（ODR）平台、平安乡村视频建设等已被长沙市确定为重点项目。小区治理“三三工程”、共商共治“屋场会”、智慧治理“十大感知”系统等项目在实践中取得了初步成效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四是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面开展重点专项治理。紧盯工作短板，打防并举，在全市部署开展了打击整治电信网络诈骗犯罪、涉众型经济犯罪、恶性刑事犯罪、涉“黄赌毒”违法犯罪，社会治安乱点整治、道路交通安全整治、校园及周边环境整治等一系列专项行动，着力解决人民群众反映强烈的社会治安问题。特别是在打击整治电信网络诈骗方面取得明显成效。加强对严重精神障碍患者、涉毒人员、扬言报复社会人员等重点人员的管控，命案发案量同比下降50%，无民转型案件发生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五是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着力推进法治社会建设。推动公正规范文明执法，行政机关负责人出庭应诉率居长沙十区县前列。建成市乡村三级公共法律服务平台，组建普法讲师团开展订单式普法专题讲座，推进“互联网+法治宣传”，宁乡新媒体普法联盟累计推送普法内容2万余篇，新推出普法短视频25部，累计阅读量达5000余万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六是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着力优化营商环境服务。开展企业家权益保护“大走访、大排查”活动，组织政法系统正科职以上领导干部走访重点企业33家，收集问题建议88条，逐条交办落实。开展“法律服务进百企”活动，组织员额法官、员额检察官联系帮扶全市105家企业，走访结对帮扶企业316次，收集意见建议107条，解决实际问题59件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（二）部门整体支出规模、使用方向和主要内容、涉及范围等。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年整体支出为1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470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万元,其中基本支出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979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万元、项目支出4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万元。基本支出是指保障单位机构正常运转、完成日常工作任务而发生的各项支出，包括用于基本工资、津贴补贴等人员经费以及办公费、印刷费、水电费、办公设备购置等日常公用经费；项目支出是综治维稳、市委政法工作会议、国安事务和司法救助金及预防青少年犯罪、铁路护路、专业型人才奖励、重大特护期、教育转化和防控经费（原610办）等7个项目，用于办公费、会议费、培训费、宣传费、司法救助、奖励金、劳务费及其他商品服务支出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二、部门整体支出管理及使用情况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年整体支出为1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470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万元,具体情况如下:</w:t>
      </w:r>
    </w:p>
    <w:p>
      <w:pPr>
        <w:adjustRightInd w:val="0"/>
        <w:snapToGrid w:val="0"/>
        <w:spacing w:line="600" w:lineRule="exact"/>
        <w:ind w:firstLine="70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（一）基本支出：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年基本支出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979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万元，是指保障单位机构正常运转、完成日常工作任务而发生的各项支出，包括用于基本工资、津贴补贴等人员经费以及办公费、印刷费、水电费、办公设备购置等日常公用经费。其中人员经费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万元、机关运行经费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166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项目支出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年项目支出4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3万元。其中综治维稳工作项目支出2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万元，用于处理突发性和群体性事件，中华人民共和国成立70周年和全国、省、市两会驻点维稳劝返工作， 各特护期、敏感日安保维稳，平安建设、扫黑除恶、网格化管理等；市委政法工作会议项目支出40万元，用于市委政法工作大会会议费及对综治、扫黑除恶、见义勇为奖励金等；国安事务、司法救助金及预防青少年犯罪项目支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93.33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eastAsia" w:eastAsia="仿宋_GB2312" w:cs="Times New Roman"/>
          <w:sz w:val="32"/>
          <w:szCs w:val="32"/>
          <w:lang w:eastAsia="zh-CN"/>
        </w:rPr>
        <w:t>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其中本级财政32万元，省、市司法救助61.33万元</w:t>
      </w:r>
      <w:r>
        <w:rPr>
          <w:rFonts w:hint="eastAsia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用于国安工作日常工作、打击处理和信息情报系统，全市涉法涉诉困难户、重大交通事故受害者等实行司法救助，全市青少年犯罪预防宣传等；铁路护路项目支出40万元，用于有奖护路责任户补助、铁路护路员用具及铁路沿线宣传等；专业型人才奖励金18万元，用于政法系统10类三档（带头人、精英、能手）人才奖励；教育转化、防控经费项目支出40万元是用于特殊人群教育转化和防控等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 资金管理情况分析及加强内部控制。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我委重视单位内部管理制度建设，加强财务管理，强化财务监督，增强法纪观念，遵守规章制度。为保证财务管理工作规范有序进行，202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我们进一步完善了相关财务管理的制度、规定，加强内部控制和监督。对各项资金的管理、经费收支审批等均做了明确规定，正确组织资金的筹集、调度和使用，债权债务及时结算、结清。各项经费支出实行限额把关、一支笔审批制度。强化制度执行。切实做好厉行节约工作，全面落实各项管理制度要求，努力降低行政成本。严格公务接待费、差旅费、会议费和培训费审核审批程序， “三公”经费较好地控制在预算范围之内。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三、部门项目组织实施情况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项目资金为专项经费的，全部用于专项工作。健全各项工作制度，严格执行机关财务管理制度，重大项目开支召开委务会研究。扫黑除恶、平安建设宣传、定点文印等，均通过政府采购，严格按照要求和程序进行采购。司法救助金是严格按照省级司法救助标准申报，层层把关审核，实行专款专用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四、资产管理情况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资产采购及管理分岗位负责，资产配置、管理、处置严格按照政府采购及资产管理办法程序办理。资产系统与会计账务的固定资产数据一致。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五、部门整体支出绩效情况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年，市委政法委严格执行国家财经法律法规和内部财务管理制度，管理规范，制度健全，财务开支合理。部门整体支出绩效情况如下：</w:t>
      </w:r>
    </w:p>
    <w:p>
      <w:pPr>
        <w:pStyle w:val="5"/>
        <w:numPr>
          <w:ilvl w:val="0"/>
          <w:numId w:val="1"/>
        </w:numPr>
        <w:adjustRightInd w:val="0"/>
        <w:snapToGrid w:val="0"/>
        <w:spacing w:line="600" w:lineRule="exact"/>
        <w:ind w:firstLineChars="0"/>
        <w:jc w:val="lef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经济效益评价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1.预算执行方面，严格按照年初预算执行，支出总额控制在预算总额之内；202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</w:t>
      </w:r>
      <w:r>
        <w:rPr>
          <w:rFonts w:hint="default" w:ascii="Times New Roman" w:hAnsi="Times New Roman" w:eastAsia="仿宋_GB2312" w:cs="Times New Roman"/>
          <w:sz w:val="30"/>
          <w:szCs w:val="30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三公”经费支出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5万元，国内公务接待费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1.05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批次，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108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人，比年初预算减少1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万元，节约了公务接待开支；无公务用车购置费及运行维护费、和因公出国境费。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 预算管理方面，严格执行预算管理的各项制度，制度执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总体较为有效。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（二）效率性评价和有效性评价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严格控制和规范管理经费支出，增强经费预算刚性，提高资金使用效益，财政资金做到了科学化、精细化管理，整体支出绩效目标完成较好。</w:t>
      </w:r>
    </w:p>
    <w:p>
      <w:pPr>
        <w:adjustRightInd w:val="0"/>
        <w:snapToGrid w:val="0"/>
        <w:spacing w:line="600" w:lineRule="exact"/>
        <w:ind w:firstLine="640" w:firstLineChars="200"/>
        <w:jc w:val="left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（三）社会公众满意度评价</w:t>
      </w:r>
    </w:p>
    <w:p>
      <w:pPr>
        <w:adjustRightInd w:val="0"/>
        <w:snapToGrid w:val="0"/>
        <w:spacing w:line="586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围绕群众反映最强烈的身边事，在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全市部署开展了打击整治电信网络诈骗犯罪、涉众型经济犯罪、恶性刑事犯罪、涉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黄赌毒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违法犯罪，社会治安乱点整治、道路交通安全整治、校园及周边环境整治等一系列专项行动，着力解决人民群众反映强烈的社会治安问题。特别是在打击整治电信网络诈骗方面取得明显成效，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有效地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提升了人民群众的安全感和满意度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我市获评全省平安建设先进县市区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在长沙市2021年公众安全感满意度测评中，我市位居长沙10区县第一，在湖南省2021年公众安全感满意度测评中，排全省第52名。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六、存在的主要问题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人员经费中的社会保障经费预算不足，要通过其他公用经费来调节。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七、改进措施和有关建议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 强化预算执行，提高预算完成率。严格按项目和进度执行预算，合理安排资金支出，增强预算执行的规范性和严肃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。加强预算的执行进度，减少存量资金，切实提高预算完成率及资金使用效率。</w:t>
      </w:r>
    </w:p>
    <w:p>
      <w:pPr>
        <w:adjustRightInd w:val="0"/>
        <w:snapToGrid w:val="0"/>
        <w:spacing w:line="600" w:lineRule="exact"/>
        <w:ind w:firstLine="627" w:firstLineChars="19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 加强学习，规范部门收支核算，及时了解预算执行差异，合理调整、纠正预算偏差，切实提高部门预算收支管理水平，尽可能做到决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和预算的相统一。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701" w:right="1588" w:bottom="1440" w:left="1588" w:header="851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7441C3"/>
    <w:multiLevelType w:val="multilevel"/>
    <w:tmpl w:val="367441C3"/>
    <w:lvl w:ilvl="0" w:tentative="0">
      <w:start w:val="1"/>
      <w:numFmt w:val="japaneseCounting"/>
      <w:lvlText w:val="（%1）"/>
      <w:lvlJc w:val="left"/>
      <w:pPr>
        <w:ind w:left="1707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67" w:hanging="420"/>
      </w:pPr>
    </w:lvl>
    <w:lvl w:ilvl="2" w:tentative="0">
      <w:start w:val="1"/>
      <w:numFmt w:val="lowerRoman"/>
      <w:lvlText w:val="%3."/>
      <w:lvlJc w:val="right"/>
      <w:pPr>
        <w:ind w:left="1887" w:hanging="420"/>
      </w:pPr>
    </w:lvl>
    <w:lvl w:ilvl="3" w:tentative="0">
      <w:start w:val="1"/>
      <w:numFmt w:val="decimal"/>
      <w:lvlText w:val="%4."/>
      <w:lvlJc w:val="left"/>
      <w:pPr>
        <w:ind w:left="2307" w:hanging="420"/>
      </w:pPr>
    </w:lvl>
    <w:lvl w:ilvl="4" w:tentative="0">
      <w:start w:val="1"/>
      <w:numFmt w:val="lowerLetter"/>
      <w:lvlText w:val="%5)"/>
      <w:lvlJc w:val="left"/>
      <w:pPr>
        <w:ind w:left="2727" w:hanging="420"/>
      </w:pPr>
    </w:lvl>
    <w:lvl w:ilvl="5" w:tentative="0">
      <w:start w:val="1"/>
      <w:numFmt w:val="lowerRoman"/>
      <w:lvlText w:val="%6."/>
      <w:lvlJc w:val="right"/>
      <w:pPr>
        <w:ind w:left="3147" w:hanging="420"/>
      </w:pPr>
    </w:lvl>
    <w:lvl w:ilvl="6" w:tentative="0">
      <w:start w:val="1"/>
      <w:numFmt w:val="decimal"/>
      <w:lvlText w:val="%7."/>
      <w:lvlJc w:val="left"/>
      <w:pPr>
        <w:ind w:left="3567" w:hanging="420"/>
      </w:pPr>
    </w:lvl>
    <w:lvl w:ilvl="7" w:tentative="0">
      <w:start w:val="1"/>
      <w:numFmt w:val="lowerLetter"/>
      <w:lvlText w:val="%8)"/>
      <w:lvlJc w:val="left"/>
      <w:pPr>
        <w:ind w:left="3987" w:hanging="420"/>
      </w:pPr>
    </w:lvl>
    <w:lvl w:ilvl="8" w:tentative="0">
      <w:start w:val="1"/>
      <w:numFmt w:val="lowerRoman"/>
      <w:lvlText w:val="%9."/>
      <w:lvlJc w:val="right"/>
      <w:pPr>
        <w:ind w:left="440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hZDc5ZDhmOWM2NTY2YTdjODM5NjJkNzU0YmU2YmEifQ=="/>
  </w:docVars>
  <w:rsids>
    <w:rsidRoot w:val="00603BC6"/>
    <w:rsid w:val="00017E1E"/>
    <w:rsid w:val="00040464"/>
    <w:rsid w:val="00236D97"/>
    <w:rsid w:val="003440B2"/>
    <w:rsid w:val="00413FC4"/>
    <w:rsid w:val="00424CE3"/>
    <w:rsid w:val="00603BC6"/>
    <w:rsid w:val="00987F50"/>
    <w:rsid w:val="00997383"/>
    <w:rsid w:val="00AA1A06"/>
    <w:rsid w:val="00AB20C1"/>
    <w:rsid w:val="00E43F40"/>
    <w:rsid w:val="00F73B2F"/>
    <w:rsid w:val="0B236EEB"/>
    <w:rsid w:val="0C8F2C76"/>
    <w:rsid w:val="127001C5"/>
    <w:rsid w:val="1954439D"/>
    <w:rsid w:val="1C161DDD"/>
    <w:rsid w:val="224D69C6"/>
    <w:rsid w:val="227B0BEC"/>
    <w:rsid w:val="24091B2B"/>
    <w:rsid w:val="29CA4207"/>
    <w:rsid w:val="2CEF46B1"/>
    <w:rsid w:val="2D614E83"/>
    <w:rsid w:val="2E8F1215"/>
    <w:rsid w:val="3082583C"/>
    <w:rsid w:val="39232E0D"/>
    <w:rsid w:val="39382F3B"/>
    <w:rsid w:val="39F50E2C"/>
    <w:rsid w:val="3A371445"/>
    <w:rsid w:val="47B2035D"/>
    <w:rsid w:val="48D569F9"/>
    <w:rsid w:val="4DBC1F35"/>
    <w:rsid w:val="5075461D"/>
    <w:rsid w:val="508036EE"/>
    <w:rsid w:val="52F7756C"/>
    <w:rsid w:val="5CA50038"/>
    <w:rsid w:val="5FCF7634"/>
    <w:rsid w:val="5FD650D9"/>
    <w:rsid w:val="65AC12A1"/>
    <w:rsid w:val="6AB65D30"/>
    <w:rsid w:val="6AF6662F"/>
    <w:rsid w:val="6D741A8D"/>
    <w:rsid w:val="6E0A419F"/>
    <w:rsid w:val="77C7703C"/>
    <w:rsid w:val="78B2790D"/>
    <w:rsid w:val="7B6A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3366</Words>
  <Characters>3502</Characters>
  <Lines>29</Lines>
  <Paragraphs>8</Paragraphs>
  <TotalTime>9</TotalTime>
  <ScaleCrop>false</ScaleCrop>
  <LinksUpToDate>false</LinksUpToDate>
  <CharactersWithSpaces>3508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2021-07-09T07:13:00Z</dcterms:created>
  <dc:creator>xb21cn</dc:creator>
  <cp:lastModifiedBy>刘善</cp:lastModifiedBy>
  <dcterms:modified xsi:type="dcterms:W3CDTF">2025-09-10T07:01:08Z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9FAD6812F923404FB717764487432094</vt:lpwstr>
  </property>
</Properties>
</file>